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1E206" w14:textId="77777777" w:rsidR="007F414C" w:rsidRDefault="007F414C" w:rsidP="007F414C">
      <w:pPr>
        <w:rPr>
          <w:color w:val="1F497D"/>
        </w:rPr>
      </w:pPr>
    </w:p>
    <w:tbl>
      <w:tblPr>
        <w:tblpPr w:leftFromText="161" w:rightFromText="161" w:vertAnchor="text"/>
        <w:tblW w:w="0" w:type="auto"/>
        <w:tblCellMar>
          <w:left w:w="0" w:type="dxa"/>
          <w:right w:w="0" w:type="dxa"/>
        </w:tblCellMar>
        <w:tblLook w:val="04A0" w:firstRow="1" w:lastRow="0" w:firstColumn="1" w:lastColumn="0" w:noHBand="0" w:noVBand="1"/>
      </w:tblPr>
      <w:tblGrid>
        <w:gridCol w:w="430"/>
        <w:gridCol w:w="1713"/>
        <w:gridCol w:w="8321"/>
        <w:gridCol w:w="48"/>
      </w:tblGrid>
      <w:tr w:rsidR="007F414C" w14:paraId="5CC45DF7" w14:textId="77777777" w:rsidTr="007F414C">
        <w:tc>
          <w:tcPr>
            <w:tcW w:w="11152" w:type="dxa"/>
            <w:gridSpan w:val="3"/>
            <w:tcMar>
              <w:top w:w="0" w:type="dxa"/>
              <w:left w:w="108" w:type="dxa"/>
              <w:bottom w:w="0" w:type="dxa"/>
              <w:right w:w="108" w:type="dxa"/>
            </w:tcMar>
            <w:hideMark/>
          </w:tcPr>
          <w:p w14:paraId="39A8B228" w14:textId="77777777" w:rsidR="007F414C" w:rsidRDefault="007F414C">
            <w:pPr>
              <w:jc w:val="center"/>
              <w:rPr>
                <w:color w:val="1F497D"/>
              </w:rPr>
            </w:pPr>
            <w:bookmarkStart w:id="0" w:name="_GoBack"/>
            <w:r>
              <w:rPr>
                <w:noProof/>
                <w:color w:val="1F497D"/>
              </w:rPr>
              <w:drawing>
                <wp:inline distT="0" distB="0" distL="0" distR="0" wp14:anchorId="03052E6F" wp14:editId="78D30188">
                  <wp:extent cx="6832600" cy="1276350"/>
                  <wp:effectExtent l="0" t="0" r="6350" b="0"/>
                  <wp:docPr id="1" name="Picture 1" descr="cid:image002.png@01DA48A3.69CC5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A48A3.69CC598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6832600" cy="1276350"/>
                          </a:xfrm>
                          <a:prstGeom prst="rect">
                            <a:avLst/>
                          </a:prstGeom>
                          <a:noFill/>
                          <a:ln>
                            <a:noFill/>
                          </a:ln>
                        </pic:spPr>
                      </pic:pic>
                    </a:graphicData>
                  </a:graphic>
                </wp:inline>
              </w:drawing>
            </w:r>
            <w:bookmarkEnd w:id="0"/>
          </w:p>
        </w:tc>
        <w:tc>
          <w:tcPr>
            <w:tcW w:w="15" w:type="dxa"/>
            <w:vAlign w:val="center"/>
            <w:hideMark/>
          </w:tcPr>
          <w:p w14:paraId="17C7884B" w14:textId="77777777" w:rsidR="007F414C" w:rsidRDefault="007F414C">
            <w:r>
              <w:t> </w:t>
            </w:r>
          </w:p>
        </w:tc>
      </w:tr>
      <w:tr w:rsidR="007F414C" w14:paraId="7144A99D" w14:textId="77777777" w:rsidTr="007F414C">
        <w:trPr>
          <w:trHeight w:val="957"/>
        </w:trPr>
        <w:tc>
          <w:tcPr>
            <w:tcW w:w="442" w:type="dxa"/>
            <w:tcMar>
              <w:top w:w="0" w:type="dxa"/>
              <w:left w:w="108" w:type="dxa"/>
              <w:bottom w:w="0" w:type="dxa"/>
              <w:right w:w="108" w:type="dxa"/>
            </w:tcMar>
            <w:vAlign w:val="bottom"/>
          </w:tcPr>
          <w:p w14:paraId="7455B9D3" w14:textId="77777777" w:rsidR="007F414C" w:rsidRDefault="007F414C">
            <w:pPr>
              <w:rPr>
                <w:b/>
                <w:bCs/>
                <w:sz w:val="24"/>
                <w:szCs w:val="24"/>
              </w:rPr>
            </w:pPr>
          </w:p>
        </w:tc>
        <w:tc>
          <w:tcPr>
            <w:tcW w:w="1800" w:type="dxa"/>
            <w:vAlign w:val="bottom"/>
            <w:hideMark/>
          </w:tcPr>
          <w:p w14:paraId="17C6BF7A" w14:textId="77777777" w:rsidR="007F414C" w:rsidRDefault="007F414C">
            <w:pPr>
              <w:rPr>
                <w:b/>
                <w:bCs/>
                <w:sz w:val="24"/>
                <w:szCs w:val="24"/>
              </w:rPr>
            </w:pPr>
            <w:r>
              <w:rPr>
                <w:b/>
                <w:bCs/>
                <w:sz w:val="24"/>
                <w:szCs w:val="24"/>
              </w:rPr>
              <w:t xml:space="preserve">Date: </w:t>
            </w:r>
          </w:p>
        </w:tc>
        <w:tc>
          <w:tcPr>
            <w:tcW w:w="8910" w:type="dxa"/>
            <w:vAlign w:val="bottom"/>
            <w:hideMark/>
          </w:tcPr>
          <w:p w14:paraId="3EAC6D7B" w14:textId="77777777" w:rsidR="007F414C" w:rsidRDefault="007F414C">
            <w:pPr>
              <w:rPr>
                <w:b/>
                <w:bCs/>
                <w:sz w:val="24"/>
                <w:szCs w:val="24"/>
              </w:rPr>
            </w:pPr>
            <w:r>
              <w:rPr>
                <w:sz w:val="24"/>
                <w:szCs w:val="24"/>
              </w:rPr>
              <w:t>January 29, 2024</w:t>
            </w:r>
          </w:p>
        </w:tc>
        <w:tc>
          <w:tcPr>
            <w:tcW w:w="20" w:type="dxa"/>
            <w:vAlign w:val="bottom"/>
          </w:tcPr>
          <w:p w14:paraId="77F0F06E" w14:textId="77777777" w:rsidR="007F414C" w:rsidRDefault="007F414C">
            <w:pPr>
              <w:rPr>
                <w:rFonts w:ascii="Times New Roman" w:hAnsi="Times New Roman" w:cs="Times New Roman"/>
                <w:sz w:val="24"/>
                <w:szCs w:val="24"/>
              </w:rPr>
            </w:pPr>
          </w:p>
        </w:tc>
      </w:tr>
      <w:tr w:rsidR="007F414C" w14:paraId="3188DE88" w14:textId="77777777" w:rsidTr="007F414C">
        <w:trPr>
          <w:trHeight w:val="588"/>
        </w:trPr>
        <w:tc>
          <w:tcPr>
            <w:tcW w:w="442" w:type="dxa"/>
            <w:tcMar>
              <w:top w:w="0" w:type="dxa"/>
              <w:left w:w="108" w:type="dxa"/>
              <w:bottom w:w="0" w:type="dxa"/>
              <w:right w:w="108" w:type="dxa"/>
            </w:tcMar>
            <w:vAlign w:val="bottom"/>
          </w:tcPr>
          <w:p w14:paraId="722BDD66" w14:textId="77777777" w:rsidR="007F414C" w:rsidRDefault="007F414C">
            <w:pPr>
              <w:rPr>
                <w:b/>
                <w:bCs/>
                <w:sz w:val="24"/>
                <w:szCs w:val="24"/>
              </w:rPr>
            </w:pPr>
          </w:p>
        </w:tc>
        <w:tc>
          <w:tcPr>
            <w:tcW w:w="1800" w:type="dxa"/>
            <w:vAlign w:val="bottom"/>
            <w:hideMark/>
          </w:tcPr>
          <w:p w14:paraId="17D98B84" w14:textId="77777777" w:rsidR="007F414C" w:rsidRDefault="007F414C">
            <w:pPr>
              <w:rPr>
                <w:b/>
                <w:bCs/>
                <w:sz w:val="24"/>
                <w:szCs w:val="24"/>
              </w:rPr>
            </w:pPr>
            <w:r>
              <w:rPr>
                <w:b/>
                <w:bCs/>
                <w:sz w:val="24"/>
                <w:szCs w:val="24"/>
              </w:rPr>
              <w:t>To:</w:t>
            </w:r>
          </w:p>
        </w:tc>
        <w:tc>
          <w:tcPr>
            <w:tcW w:w="8910" w:type="dxa"/>
            <w:vAlign w:val="bottom"/>
            <w:hideMark/>
          </w:tcPr>
          <w:p w14:paraId="0FCA0B5E" w14:textId="77777777" w:rsidR="007F414C" w:rsidRDefault="007F414C">
            <w:pPr>
              <w:rPr>
                <w:b/>
                <w:bCs/>
                <w:sz w:val="24"/>
                <w:szCs w:val="24"/>
              </w:rPr>
            </w:pPr>
            <w:r>
              <w:rPr>
                <w:sz w:val="24"/>
                <w:szCs w:val="24"/>
              </w:rPr>
              <w:t>Accreditation Liaison Officers of ACCJC Member Institutions</w:t>
            </w:r>
          </w:p>
        </w:tc>
        <w:tc>
          <w:tcPr>
            <w:tcW w:w="20" w:type="dxa"/>
            <w:vAlign w:val="bottom"/>
          </w:tcPr>
          <w:p w14:paraId="5522C267" w14:textId="77777777" w:rsidR="007F414C" w:rsidRDefault="007F414C">
            <w:pPr>
              <w:rPr>
                <w:rFonts w:ascii="Times New Roman" w:hAnsi="Times New Roman" w:cs="Times New Roman"/>
                <w:sz w:val="24"/>
                <w:szCs w:val="24"/>
              </w:rPr>
            </w:pPr>
          </w:p>
        </w:tc>
      </w:tr>
      <w:tr w:rsidR="007F414C" w14:paraId="00E99CD1" w14:textId="77777777" w:rsidTr="007F414C">
        <w:trPr>
          <w:trHeight w:val="633"/>
        </w:trPr>
        <w:tc>
          <w:tcPr>
            <w:tcW w:w="442" w:type="dxa"/>
            <w:tcMar>
              <w:top w:w="0" w:type="dxa"/>
              <w:left w:w="108" w:type="dxa"/>
              <w:bottom w:w="0" w:type="dxa"/>
              <w:right w:w="108" w:type="dxa"/>
            </w:tcMar>
            <w:vAlign w:val="bottom"/>
          </w:tcPr>
          <w:p w14:paraId="6ACDDD92" w14:textId="77777777" w:rsidR="007F414C" w:rsidRDefault="007F414C">
            <w:pPr>
              <w:rPr>
                <w:b/>
                <w:bCs/>
                <w:sz w:val="24"/>
                <w:szCs w:val="24"/>
              </w:rPr>
            </w:pPr>
          </w:p>
        </w:tc>
        <w:tc>
          <w:tcPr>
            <w:tcW w:w="1800" w:type="dxa"/>
            <w:vAlign w:val="bottom"/>
            <w:hideMark/>
          </w:tcPr>
          <w:p w14:paraId="76BA25E4" w14:textId="77777777" w:rsidR="007F414C" w:rsidRDefault="007F414C">
            <w:pPr>
              <w:outlineLvl w:val="0"/>
              <w:rPr>
                <w:b/>
                <w:bCs/>
                <w:sz w:val="24"/>
                <w:szCs w:val="24"/>
              </w:rPr>
            </w:pPr>
            <w:r>
              <w:rPr>
                <w:b/>
                <w:bCs/>
                <w:sz w:val="24"/>
                <w:szCs w:val="24"/>
              </w:rPr>
              <w:t>From:</w:t>
            </w:r>
          </w:p>
        </w:tc>
        <w:tc>
          <w:tcPr>
            <w:tcW w:w="8910" w:type="dxa"/>
            <w:vAlign w:val="bottom"/>
            <w:hideMark/>
          </w:tcPr>
          <w:p w14:paraId="5E4CA5C5" w14:textId="77777777" w:rsidR="007F414C" w:rsidRDefault="007F414C">
            <w:pPr>
              <w:rPr>
                <w:b/>
                <w:bCs/>
                <w:sz w:val="24"/>
                <w:szCs w:val="24"/>
              </w:rPr>
            </w:pPr>
            <w:r>
              <w:rPr>
                <w:sz w:val="24"/>
                <w:szCs w:val="24"/>
              </w:rPr>
              <w:t>Kevin Bontenbal, Vice President</w:t>
            </w:r>
          </w:p>
        </w:tc>
        <w:tc>
          <w:tcPr>
            <w:tcW w:w="20" w:type="dxa"/>
            <w:vAlign w:val="bottom"/>
          </w:tcPr>
          <w:p w14:paraId="3D805FD7" w14:textId="77777777" w:rsidR="007F414C" w:rsidRDefault="007F414C">
            <w:pPr>
              <w:rPr>
                <w:rFonts w:ascii="Times New Roman" w:hAnsi="Times New Roman" w:cs="Times New Roman"/>
                <w:sz w:val="24"/>
                <w:szCs w:val="24"/>
              </w:rPr>
            </w:pPr>
          </w:p>
        </w:tc>
      </w:tr>
      <w:tr w:rsidR="007F414C" w14:paraId="3EA28066" w14:textId="77777777" w:rsidTr="007F414C">
        <w:trPr>
          <w:trHeight w:val="609"/>
        </w:trPr>
        <w:tc>
          <w:tcPr>
            <w:tcW w:w="442" w:type="dxa"/>
            <w:tcMar>
              <w:top w:w="0" w:type="dxa"/>
              <w:left w:w="108" w:type="dxa"/>
              <w:bottom w:w="0" w:type="dxa"/>
              <w:right w:w="108" w:type="dxa"/>
            </w:tcMar>
            <w:vAlign w:val="bottom"/>
          </w:tcPr>
          <w:p w14:paraId="1D31AC02" w14:textId="77777777" w:rsidR="007F414C" w:rsidRDefault="007F414C">
            <w:pPr>
              <w:rPr>
                <w:b/>
                <w:bCs/>
                <w:sz w:val="24"/>
                <w:szCs w:val="24"/>
              </w:rPr>
            </w:pPr>
          </w:p>
        </w:tc>
        <w:tc>
          <w:tcPr>
            <w:tcW w:w="1800" w:type="dxa"/>
            <w:vAlign w:val="bottom"/>
            <w:hideMark/>
          </w:tcPr>
          <w:p w14:paraId="15A09768" w14:textId="77777777" w:rsidR="007F414C" w:rsidRDefault="007F414C">
            <w:pPr>
              <w:rPr>
                <w:b/>
                <w:bCs/>
                <w:sz w:val="24"/>
                <w:szCs w:val="24"/>
              </w:rPr>
            </w:pPr>
            <w:r>
              <w:rPr>
                <w:b/>
                <w:bCs/>
                <w:sz w:val="24"/>
                <w:szCs w:val="24"/>
              </w:rPr>
              <w:t>Subject:</w:t>
            </w:r>
          </w:p>
        </w:tc>
        <w:tc>
          <w:tcPr>
            <w:tcW w:w="8910" w:type="dxa"/>
            <w:vAlign w:val="bottom"/>
            <w:hideMark/>
          </w:tcPr>
          <w:p w14:paraId="4CDD251E" w14:textId="77777777" w:rsidR="007F414C" w:rsidRDefault="007F414C">
            <w:pPr>
              <w:rPr>
                <w:sz w:val="24"/>
                <w:szCs w:val="24"/>
              </w:rPr>
            </w:pPr>
            <w:r>
              <w:rPr>
                <w:sz w:val="24"/>
                <w:szCs w:val="24"/>
              </w:rPr>
              <w:t>Distance Education Approval</w:t>
            </w:r>
          </w:p>
        </w:tc>
        <w:tc>
          <w:tcPr>
            <w:tcW w:w="20" w:type="dxa"/>
            <w:vAlign w:val="bottom"/>
          </w:tcPr>
          <w:p w14:paraId="5AE5D829" w14:textId="77777777" w:rsidR="007F414C" w:rsidRDefault="007F414C">
            <w:pPr>
              <w:rPr>
                <w:rFonts w:ascii="Times New Roman" w:hAnsi="Times New Roman" w:cs="Times New Roman"/>
                <w:sz w:val="24"/>
                <w:szCs w:val="24"/>
              </w:rPr>
            </w:pPr>
          </w:p>
        </w:tc>
      </w:tr>
      <w:tr w:rsidR="007F414C" w14:paraId="3257366E" w14:textId="77777777" w:rsidTr="007F414C">
        <w:trPr>
          <w:trHeight w:val="980"/>
        </w:trPr>
        <w:tc>
          <w:tcPr>
            <w:tcW w:w="442" w:type="dxa"/>
            <w:tcMar>
              <w:top w:w="0" w:type="dxa"/>
              <w:left w:w="108" w:type="dxa"/>
              <w:bottom w:w="0" w:type="dxa"/>
              <w:right w:w="108" w:type="dxa"/>
            </w:tcMar>
            <w:vAlign w:val="bottom"/>
          </w:tcPr>
          <w:p w14:paraId="7B24AB48" w14:textId="77777777" w:rsidR="007F414C" w:rsidRDefault="007F414C">
            <w:pPr>
              <w:rPr>
                <w:b/>
                <w:bCs/>
                <w:sz w:val="24"/>
                <w:szCs w:val="24"/>
              </w:rPr>
            </w:pPr>
          </w:p>
        </w:tc>
        <w:tc>
          <w:tcPr>
            <w:tcW w:w="10710" w:type="dxa"/>
            <w:gridSpan w:val="2"/>
            <w:vAlign w:val="bottom"/>
          </w:tcPr>
          <w:p w14:paraId="48CBEE61" w14:textId="77777777" w:rsidR="007F414C" w:rsidRDefault="007F414C">
            <w:pPr>
              <w:rPr>
                <w:sz w:val="24"/>
                <w:szCs w:val="24"/>
              </w:rPr>
            </w:pPr>
          </w:p>
          <w:p w14:paraId="5284D794" w14:textId="77777777" w:rsidR="007F414C" w:rsidRDefault="007F414C">
            <w:pPr>
              <w:rPr>
                <w:sz w:val="16"/>
                <w:szCs w:val="16"/>
              </w:rPr>
            </w:pPr>
          </w:p>
          <w:p w14:paraId="4D4F2886" w14:textId="77777777" w:rsidR="007F414C" w:rsidRDefault="007F414C">
            <w:pPr>
              <w:rPr>
                <w:sz w:val="24"/>
                <w:szCs w:val="24"/>
                <w14:ligatures w14:val="standardContextual"/>
              </w:rPr>
            </w:pPr>
            <w:r>
              <w:rPr>
                <w:sz w:val="24"/>
                <w:szCs w:val="24"/>
                <w14:ligatures w14:val="standardContextual"/>
              </w:rPr>
              <w:t xml:space="preserve">ACCJC has recently updated its </w:t>
            </w:r>
            <w:hyperlink r:id="rId10" w:history="1">
              <w:r>
                <w:rPr>
                  <w:rStyle w:val="Hyperlink"/>
                  <w:i/>
                  <w:iCs/>
                  <w:sz w:val="24"/>
                  <w:szCs w:val="24"/>
                  <w14:ligatures w14:val="standardContextual"/>
                </w:rPr>
                <w:t>Policy on Substantive Change</w:t>
              </w:r>
            </w:hyperlink>
            <w:r>
              <w:rPr>
                <w:sz w:val="24"/>
                <w:szCs w:val="24"/>
                <w14:ligatures w14:val="standardContextual"/>
              </w:rPr>
              <w:t xml:space="preserve"> and </w:t>
            </w:r>
            <w:hyperlink r:id="rId11" w:history="1">
              <w:r>
                <w:rPr>
                  <w:rStyle w:val="Hyperlink"/>
                  <w:sz w:val="24"/>
                  <w:szCs w:val="24"/>
                  <w14:ligatures w14:val="standardContextual"/>
                </w:rPr>
                <w:t>Substantive Change Manual</w:t>
              </w:r>
            </w:hyperlink>
            <w:r>
              <w:rPr>
                <w:sz w:val="24"/>
                <w:szCs w:val="24"/>
                <w14:ligatures w14:val="standardContextual"/>
              </w:rPr>
              <w:t xml:space="preserve"> and has clarified distance education approval requirements as seen in the U.S. Department of Education’s </w:t>
            </w:r>
            <w:hyperlink r:id="rId12" w:history="1">
              <w:r>
                <w:rPr>
                  <w:rStyle w:val="Hyperlink"/>
                  <w:sz w:val="24"/>
                  <w:szCs w:val="24"/>
                  <w14:ligatures w14:val="standardContextual"/>
                </w:rPr>
                <w:t>Letter on Accreditation and Eligibility Requirements for Distance Education</w:t>
              </w:r>
            </w:hyperlink>
            <w:r>
              <w:rPr>
                <w:sz w:val="24"/>
                <w:szCs w:val="24"/>
                <w14:ligatures w14:val="standardContextual"/>
              </w:rPr>
              <w:t xml:space="preserve">. </w:t>
            </w:r>
          </w:p>
          <w:p w14:paraId="70D27BC3" w14:textId="77777777" w:rsidR="007F414C" w:rsidRDefault="007F414C">
            <w:pPr>
              <w:rPr>
                <w:sz w:val="24"/>
                <w:szCs w:val="24"/>
                <w14:ligatures w14:val="standardContextual"/>
              </w:rPr>
            </w:pPr>
          </w:p>
          <w:p w14:paraId="55E2D4EF" w14:textId="77777777" w:rsidR="007F414C" w:rsidRDefault="007F414C">
            <w:pPr>
              <w:rPr>
                <w:sz w:val="24"/>
                <w:szCs w:val="24"/>
                <w14:ligatures w14:val="standardContextual"/>
              </w:rPr>
            </w:pPr>
            <w:r>
              <w:rPr>
                <w:sz w:val="24"/>
                <w:szCs w:val="24"/>
                <w14:ligatures w14:val="standardContextual"/>
              </w:rPr>
              <w:t xml:space="preserve">If your institution has received initial approval from ACCJC to offer programs in the distance education modality, you can continue offering those programs in this modality. However, please notify us within 30 days, through our </w:t>
            </w:r>
            <w:hyperlink r:id="rId13" w:history="1">
              <w:r>
                <w:rPr>
                  <w:rStyle w:val="Hyperlink"/>
                  <w:sz w:val="24"/>
                  <w:szCs w:val="24"/>
                  <w14:ligatures w14:val="standardContextual"/>
                </w:rPr>
                <w:t>Substantive Change Inquiry Form</w:t>
              </w:r>
            </w:hyperlink>
            <w:r>
              <w:rPr>
                <w:sz w:val="24"/>
                <w:szCs w:val="24"/>
                <w14:ligatures w14:val="standardContextual"/>
              </w:rPr>
              <w:t xml:space="preserve">, of any new or existing programs where 50 percent or more of the total program (including General Education courses) will be offered via distance education. </w:t>
            </w:r>
          </w:p>
          <w:p w14:paraId="7A0FC0A5" w14:textId="77777777" w:rsidR="007F414C" w:rsidRDefault="007F414C">
            <w:pPr>
              <w:rPr>
                <w:sz w:val="24"/>
                <w:szCs w:val="24"/>
                <w14:ligatures w14:val="standardContextual"/>
              </w:rPr>
            </w:pPr>
          </w:p>
          <w:p w14:paraId="495E6264" w14:textId="77777777" w:rsidR="007F414C" w:rsidRDefault="007F414C">
            <w:pPr>
              <w:rPr>
                <w:sz w:val="24"/>
                <w:szCs w:val="24"/>
                <w14:ligatures w14:val="standardContextual"/>
              </w:rPr>
            </w:pPr>
            <w:r>
              <w:rPr>
                <w:sz w:val="24"/>
                <w:szCs w:val="24"/>
                <w14:ligatures w14:val="standardContextual"/>
              </w:rPr>
              <w:t>Additionally, if one or both of the following apply, you must receive additional Substantive Change approval from ACCJC:</w:t>
            </w:r>
          </w:p>
          <w:p w14:paraId="44F17842" w14:textId="77777777" w:rsidR="007F414C" w:rsidRDefault="007F414C" w:rsidP="00792CE5">
            <w:pPr>
              <w:numPr>
                <w:ilvl w:val="0"/>
                <w:numId w:val="1"/>
              </w:numPr>
              <w:spacing w:before="120"/>
              <w:rPr>
                <w:rFonts w:eastAsia="Times New Roman"/>
                <w:sz w:val="24"/>
                <w:szCs w:val="24"/>
                <w14:ligatures w14:val="standardContextual"/>
              </w:rPr>
            </w:pPr>
            <w:r>
              <w:rPr>
                <w:rFonts w:eastAsia="Times New Roman"/>
                <w:sz w:val="24"/>
                <w:szCs w:val="24"/>
                <w14:ligatures w14:val="standardContextual"/>
              </w:rPr>
              <w:t xml:space="preserve">50 percent or more of your total student population is enrolled in at least one course offered through distance education, or </w:t>
            </w:r>
          </w:p>
          <w:p w14:paraId="7E9F6552" w14:textId="77777777" w:rsidR="007F414C" w:rsidRDefault="007F414C" w:rsidP="00792CE5">
            <w:pPr>
              <w:numPr>
                <w:ilvl w:val="0"/>
                <w:numId w:val="1"/>
              </w:numPr>
              <w:spacing w:before="120"/>
              <w:rPr>
                <w:rFonts w:eastAsia="Times New Roman"/>
                <w:sz w:val="24"/>
                <w:szCs w:val="24"/>
                <w14:ligatures w14:val="standardContextual"/>
              </w:rPr>
            </w:pPr>
            <w:r>
              <w:rPr>
                <w:rFonts w:eastAsia="Times New Roman"/>
                <w:sz w:val="24"/>
                <w:szCs w:val="24"/>
                <w14:ligatures w14:val="standardContextual"/>
              </w:rPr>
              <w:t>50 percent or more of all your institution’s courses are offered via distance education.</w:t>
            </w:r>
          </w:p>
          <w:p w14:paraId="43FF09D4" w14:textId="77777777" w:rsidR="007F414C" w:rsidRDefault="007F414C">
            <w:pPr>
              <w:rPr>
                <w:sz w:val="24"/>
                <w:szCs w:val="24"/>
                <w14:ligatures w14:val="standardContextual"/>
              </w:rPr>
            </w:pPr>
          </w:p>
          <w:p w14:paraId="2A28DA6A" w14:textId="77777777" w:rsidR="007F414C" w:rsidRDefault="007F414C">
            <w:pPr>
              <w:rPr>
                <w:color w:val="000000"/>
                <w:sz w:val="24"/>
                <w:szCs w:val="24"/>
                <w14:ligatures w14:val="standardContextual"/>
              </w:rPr>
            </w:pPr>
            <w:r>
              <w:rPr>
                <w:sz w:val="24"/>
                <w:szCs w:val="24"/>
                <w14:ligatures w14:val="standardContextual"/>
              </w:rPr>
              <w:t xml:space="preserve">To receive approval, please submit the </w:t>
            </w:r>
            <w:hyperlink r:id="rId14" w:history="1">
              <w:r>
                <w:rPr>
                  <w:rStyle w:val="Hyperlink"/>
                  <w:sz w:val="24"/>
                  <w:szCs w:val="24"/>
                  <w14:ligatures w14:val="standardContextual"/>
                </w:rPr>
                <w:t>Substantive Change Inquiry Form</w:t>
              </w:r>
            </w:hyperlink>
            <w:r>
              <w:rPr>
                <w:sz w:val="24"/>
                <w:szCs w:val="24"/>
                <w14:ligatures w14:val="standardContextual"/>
              </w:rPr>
              <w:t xml:space="preserve"> by </w:t>
            </w:r>
            <w:r>
              <w:rPr>
                <w:b/>
                <w:bCs/>
                <w:sz w:val="24"/>
                <w:szCs w:val="24"/>
                <w14:ligatures w14:val="standardContextual"/>
              </w:rPr>
              <w:t>March 1, 2024</w:t>
            </w:r>
            <w:r>
              <w:rPr>
                <w:sz w:val="24"/>
                <w:szCs w:val="24"/>
                <w14:ligatures w14:val="standardContextual"/>
              </w:rPr>
              <w:t>. Please choose “Distance Education Approval” as the type of change and indicate which circumstance applies. We will follow up within five days with the approval application for you to complete.</w:t>
            </w:r>
            <w:r>
              <w:rPr>
                <w:color w:val="000000"/>
                <w:sz w:val="24"/>
                <w:szCs w:val="24"/>
                <w14:ligatures w14:val="standardContextual"/>
              </w:rPr>
              <w:t xml:space="preserve"> According to our updated policy and as indicated in the manual, this type of change will require review and approval by ACCJC senior staff (Administrative Approval). There is no fee for substantive changes eligible for Administrative Approval. </w:t>
            </w:r>
          </w:p>
          <w:p w14:paraId="7C4FEA86" w14:textId="77777777" w:rsidR="007F414C" w:rsidRDefault="007F414C">
            <w:pPr>
              <w:rPr>
                <w:color w:val="000000"/>
                <w:sz w:val="24"/>
                <w:szCs w:val="24"/>
                <w14:ligatures w14:val="standardContextual"/>
              </w:rPr>
            </w:pPr>
          </w:p>
          <w:p w14:paraId="20E5049A" w14:textId="77777777" w:rsidR="007F414C" w:rsidRDefault="007F414C">
            <w:pPr>
              <w:rPr>
                <w:color w:val="000000"/>
                <w:sz w:val="24"/>
                <w:szCs w:val="24"/>
                <w14:ligatures w14:val="standardContextual"/>
              </w:rPr>
            </w:pPr>
            <w:r>
              <w:rPr>
                <w:color w:val="000000"/>
                <w:sz w:val="24"/>
                <w:szCs w:val="24"/>
              </w:rPr>
              <w:t xml:space="preserve">If you have any questions, please reach out to me at </w:t>
            </w:r>
            <w:hyperlink r:id="rId15" w:history="1">
              <w:r>
                <w:rPr>
                  <w:rStyle w:val="Hyperlink"/>
                  <w:sz w:val="24"/>
                  <w:szCs w:val="24"/>
                </w:rPr>
                <w:t>kbontenbal@accjc.org</w:t>
              </w:r>
            </w:hyperlink>
            <w:r>
              <w:rPr>
                <w:color w:val="000000"/>
                <w:sz w:val="24"/>
                <w:szCs w:val="24"/>
              </w:rPr>
              <w:t xml:space="preserve"> or Elizabeth Dutton at </w:t>
            </w:r>
            <w:hyperlink r:id="rId16" w:history="1">
              <w:r>
                <w:rPr>
                  <w:rStyle w:val="Hyperlink"/>
                  <w:sz w:val="24"/>
                  <w:szCs w:val="24"/>
                </w:rPr>
                <w:t>edutton@accjc.org</w:t>
              </w:r>
            </w:hyperlink>
            <w:r>
              <w:rPr>
                <w:color w:val="000000"/>
                <w:sz w:val="24"/>
                <w:szCs w:val="24"/>
              </w:rPr>
              <w:t>.</w:t>
            </w:r>
          </w:p>
          <w:p w14:paraId="0CEE4D68" w14:textId="77777777" w:rsidR="007F414C" w:rsidRDefault="007F414C">
            <w:pPr>
              <w:rPr>
                <w:b/>
                <w:bCs/>
                <w:sz w:val="24"/>
                <w:szCs w:val="24"/>
              </w:rPr>
            </w:pPr>
          </w:p>
        </w:tc>
        <w:tc>
          <w:tcPr>
            <w:tcW w:w="20" w:type="dxa"/>
            <w:vAlign w:val="bottom"/>
          </w:tcPr>
          <w:p w14:paraId="2D1C50DF" w14:textId="77777777" w:rsidR="007F414C" w:rsidRDefault="007F414C">
            <w:pPr>
              <w:rPr>
                <w:rFonts w:ascii="Times New Roman" w:hAnsi="Times New Roman" w:cs="Times New Roman"/>
                <w:b/>
                <w:bCs/>
                <w:sz w:val="24"/>
                <w:szCs w:val="24"/>
              </w:rPr>
            </w:pPr>
          </w:p>
        </w:tc>
      </w:tr>
    </w:tbl>
    <w:p w14:paraId="56CFF55F" w14:textId="77777777" w:rsidR="002B743A" w:rsidRDefault="007F414C"/>
    <w:sectPr w:rsidR="002B743A" w:rsidSect="007F414C">
      <w:pgSz w:w="12240" w:h="15840"/>
      <w:pgMar w:top="720" w:right="864" w:bottom="187"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C630C7"/>
    <w:multiLevelType w:val="hybridMultilevel"/>
    <w:tmpl w:val="F4C4A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14C"/>
    <w:rsid w:val="001B64EE"/>
    <w:rsid w:val="007F414C"/>
    <w:rsid w:val="00A30293"/>
    <w:rsid w:val="00F42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F29F6"/>
  <w15:chartTrackingRefBased/>
  <w15:docId w15:val="{250AE52A-4E81-4DD3-A1C9-4E9782166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414C"/>
    <w:pPr>
      <w:spacing w:after="0" w:line="240" w:lineRule="auto"/>
    </w:pPr>
    <w:rPr>
      <w:rFonts w:ascii="Calibri" w:hAnsi="Calibri" w:cs="Calibri"/>
    </w:rPr>
  </w:style>
  <w:style w:type="paragraph" w:styleId="Heading1">
    <w:name w:val="heading 1"/>
    <w:basedOn w:val="Normal"/>
    <w:next w:val="Normal"/>
    <w:link w:val="Heading1Char"/>
    <w:uiPriority w:val="9"/>
    <w:qFormat/>
    <w:rsid w:val="001B64EE"/>
    <w:pPr>
      <w:keepNext/>
      <w:keepLines/>
      <w:spacing w:before="240"/>
      <w:outlineLvl w:val="0"/>
    </w:pPr>
    <w:rPr>
      <w:rFonts w:asciiTheme="majorHAnsi" w:eastAsiaTheme="majorEastAsia" w:hAnsiTheme="majorHAnsi" w:cstheme="majorBidi"/>
      <w:color w:val="00634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4EE"/>
    <w:rPr>
      <w:rFonts w:asciiTheme="majorHAnsi" w:eastAsiaTheme="majorEastAsia" w:hAnsiTheme="majorHAnsi" w:cstheme="majorBidi"/>
      <w:color w:val="006342"/>
      <w:sz w:val="32"/>
      <w:szCs w:val="32"/>
    </w:rPr>
  </w:style>
  <w:style w:type="character" w:styleId="Hyperlink">
    <w:name w:val="Hyperlink"/>
    <w:basedOn w:val="DefaultParagraphFont"/>
    <w:uiPriority w:val="99"/>
    <w:semiHidden/>
    <w:unhideWhenUsed/>
    <w:rsid w:val="007F41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79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ccjc.org/forms/substantive-change-inquiry-for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sapartners.ed.gov/knowledge-center/library/dear-colleague-letters/2023-05-18/accreditation-and-eligibility-requirements-distance-educ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dutton@accjc.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ccjc.org/wp-content/uploads/Substantive-Change-Manual.pdf" TargetMode="External"/><Relationship Id="rId5" Type="http://schemas.openxmlformats.org/officeDocument/2006/relationships/styles" Target="styles.xml"/><Relationship Id="rId15" Type="http://schemas.openxmlformats.org/officeDocument/2006/relationships/hyperlink" Target="mailto:kbontenbal@accjc.org" TargetMode="External"/><Relationship Id="rId10" Type="http://schemas.openxmlformats.org/officeDocument/2006/relationships/hyperlink" Target="https://accjc.org/wp-content/uploads/Policy-on-Substantive-Change.pdf" TargetMode="External"/><Relationship Id="rId4" Type="http://schemas.openxmlformats.org/officeDocument/2006/relationships/numbering" Target="numbering.xml"/><Relationship Id="rId9" Type="http://schemas.openxmlformats.org/officeDocument/2006/relationships/image" Target="cid:image002.png@01DA48A3.69CC5980" TargetMode="External"/><Relationship Id="rId14" Type="http://schemas.openxmlformats.org/officeDocument/2006/relationships/hyperlink" Target="https://accjc.org/forms/substantive-change-inquiry-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551A415522C74CB2195B1A777E9A7C" ma:contentTypeVersion="18" ma:contentTypeDescription="Create a new document." ma:contentTypeScope="" ma:versionID="d4bb8c2641764e3ca70261afe1b33a53">
  <xsd:schema xmlns:xsd="http://www.w3.org/2001/XMLSchema" xmlns:xs="http://www.w3.org/2001/XMLSchema" xmlns:p="http://schemas.microsoft.com/office/2006/metadata/properties" xmlns:ns3="2bc55ecc-363e-43e9-bfac-4ba2e86f45ee" xmlns:ns4="bb5bbb0b-6c89-44d7-be61-0adfe653f983" targetNamespace="http://schemas.microsoft.com/office/2006/metadata/properties" ma:root="true" ma:fieldsID="9959290da7346403855fa006fec8fe7c" ns3:_="" ns4:_="">
    <xsd:import namespace="2bc55ecc-363e-43e9-bfac-4ba2e86f45ee"/>
    <xsd:import namespace="bb5bbb0b-6c89-44d7-be61-0adfe653f9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55ecc-363e-43e9-bfac-4ba2e86f4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5bbb0b-6c89-44d7-be61-0adfe653f9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bc55ecc-363e-43e9-bfac-4ba2e86f45ee" xsi:nil="true"/>
  </documentManagement>
</p:properties>
</file>

<file path=customXml/itemProps1.xml><?xml version="1.0" encoding="utf-8"?>
<ds:datastoreItem xmlns:ds="http://schemas.openxmlformats.org/officeDocument/2006/customXml" ds:itemID="{DF7F5E72-857B-418F-873C-67178FB9E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55ecc-363e-43e9-bfac-4ba2e86f45ee"/>
    <ds:schemaRef ds:uri="bb5bbb0b-6c89-44d7-be61-0adfe653f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127314-FCEF-4AB6-A669-B6B36F4D3E93}">
  <ds:schemaRefs>
    <ds:schemaRef ds:uri="http://schemas.microsoft.com/sharepoint/v3/contenttype/forms"/>
  </ds:schemaRefs>
</ds:datastoreItem>
</file>

<file path=customXml/itemProps3.xml><?xml version="1.0" encoding="utf-8"?>
<ds:datastoreItem xmlns:ds="http://schemas.openxmlformats.org/officeDocument/2006/customXml" ds:itemID="{C1092051-4752-477B-860C-3469742463DC}">
  <ds:schemaRefs>
    <ds:schemaRef ds:uri="http://purl.org/dc/terms/"/>
    <ds:schemaRef ds:uri="2bc55ecc-363e-43e9-bfac-4ba2e86f45ee"/>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bb5bbb0b-6c89-44d7-be61-0adfe653f98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San Mateo County Community College District</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Engel, Karen</dc:creator>
  <cp:keywords/>
  <dc:description/>
  <cp:lastModifiedBy>Engel, Karen</cp:lastModifiedBy>
  <cp:revision>1</cp:revision>
  <dcterms:created xsi:type="dcterms:W3CDTF">2024-02-21T23:12:00Z</dcterms:created>
  <dcterms:modified xsi:type="dcterms:W3CDTF">2024-02-21T23:15:00Z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0x01010029551A415522C74CB2195B1A777E9A7C</vt:lpwstr>
  </property>
</Properties>
</file>