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09" w:rsidRDefault="00411244" w:rsidP="007015F0">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w:t>
      </w:r>
      <w:r w:rsidR="00176F8A">
        <w:rPr>
          <w:rFonts w:ascii="Times New Roman" w:eastAsia="Times New Roman" w:hAnsi="Times New Roman" w:cs="Times New Roman"/>
          <w:bCs/>
          <w:noProof/>
          <w:kern w:val="36"/>
          <w:sz w:val="24"/>
          <w:szCs w:val="24"/>
        </w:rPr>
        <w:drawing>
          <wp:inline distT="0" distB="0" distL="0" distR="0">
            <wp:extent cx="189547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047750"/>
                    </a:xfrm>
                    <a:prstGeom prst="rect">
                      <a:avLst/>
                    </a:prstGeom>
                    <a:noFill/>
                    <a:ln>
                      <a:noFill/>
                    </a:ln>
                  </pic:spPr>
                </pic:pic>
              </a:graphicData>
            </a:graphic>
          </wp:inline>
        </w:drawing>
      </w:r>
    </w:p>
    <w:p w:rsidR="007015F0" w:rsidRPr="00176F8A" w:rsidRDefault="007015F0" w:rsidP="007015F0">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176F8A">
        <w:rPr>
          <w:rFonts w:ascii="Times New Roman" w:eastAsia="Times New Roman" w:hAnsi="Times New Roman" w:cs="Times New Roman"/>
          <w:b/>
          <w:bCs/>
          <w:kern w:val="36"/>
          <w:sz w:val="24"/>
          <w:szCs w:val="24"/>
        </w:rPr>
        <w:t>Fact Sheet</w:t>
      </w:r>
    </w:p>
    <w:p w:rsidR="0005332C" w:rsidRPr="000F506D" w:rsidRDefault="0005332C" w:rsidP="0005332C">
      <w:pPr>
        <w:spacing w:before="100" w:beforeAutospacing="1" w:after="100" w:afterAutospacing="1" w:line="240" w:lineRule="auto"/>
        <w:outlineLvl w:val="0"/>
        <w:rPr>
          <w:rFonts w:ascii="Times New Roman" w:eastAsia="Times New Roman" w:hAnsi="Times New Roman" w:cs="Times New Roman"/>
          <w:bCs/>
          <w:kern w:val="36"/>
        </w:rPr>
      </w:pPr>
      <w:r w:rsidRPr="000F506D">
        <w:rPr>
          <w:rFonts w:ascii="Times New Roman" w:eastAsia="Times New Roman" w:hAnsi="Times New Roman" w:cs="Times New Roman"/>
          <w:bCs/>
          <w:kern w:val="36"/>
        </w:rPr>
        <w:t>Before you decide to transfer and/or continue your education elsewhere, you need to know your rights as a recipient of Federal Financial Aid.</w:t>
      </w:r>
    </w:p>
    <w:p w:rsidR="00B26385" w:rsidRPr="000F506D" w:rsidRDefault="00B26385" w:rsidP="0005332C">
      <w:pPr>
        <w:spacing w:before="100" w:beforeAutospacing="1" w:after="100" w:afterAutospacing="1" w:line="240" w:lineRule="auto"/>
        <w:outlineLvl w:val="0"/>
        <w:rPr>
          <w:rFonts w:ascii="Times New Roman" w:eastAsia="Times New Roman" w:hAnsi="Times New Roman" w:cs="Times New Roman"/>
          <w:bCs/>
          <w:kern w:val="36"/>
        </w:rPr>
      </w:pPr>
      <w:r w:rsidRPr="000F506D">
        <w:rPr>
          <w:rFonts w:ascii="Times New Roman" w:hAnsi="Times New Roman" w:cs="Times New Roman"/>
        </w:rPr>
        <w:t xml:space="preserve">Corinthian College owns Heald College as well as Everest and WyoTech.  Why do you need to </w:t>
      </w:r>
      <w:bookmarkStart w:id="0" w:name="_GoBack"/>
      <w:bookmarkEnd w:id="0"/>
      <w:r w:rsidRPr="000F506D">
        <w:rPr>
          <w:rFonts w:ascii="Times New Roman" w:hAnsi="Times New Roman" w:cs="Times New Roman"/>
        </w:rPr>
        <w:t>know this?</w:t>
      </w:r>
    </w:p>
    <w:p w:rsidR="0005332C" w:rsidRPr="000F506D" w:rsidRDefault="0005332C" w:rsidP="0005332C">
      <w:pPr>
        <w:spacing w:before="100" w:beforeAutospacing="1" w:after="100" w:afterAutospacing="1" w:line="240" w:lineRule="auto"/>
        <w:outlineLvl w:val="0"/>
        <w:rPr>
          <w:rFonts w:ascii="Times New Roman" w:eastAsia="Times New Roman" w:hAnsi="Times New Roman" w:cs="Times New Roman"/>
          <w:bCs/>
          <w:kern w:val="36"/>
        </w:rPr>
      </w:pPr>
      <w:r w:rsidRPr="000F506D">
        <w:rPr>
          <w:rFonts w:ascii="Times New Roman" w:eastAsia="Times New Roman" w:hAnsi="Times New Roman" w:cs="Times New Roman"/>
          <w:bCs/>
          <w:kern w:val="36"/>
        </w:rPr>
        <w:t>Heald College is</w:t>
      </w:r>
      <w:r w:rsidR="00B26385" w:rsidRPr="000F506D">
        <w:rPr>
          <w:rFonts w:ascii="Times New Roman" w:eastAsia="Times New Roman" w:hAnsi="Times New Roman" w:cs="Times New Roman"/>
          <w:bCs/>
          <w:kern w:val="36"/>
        </w:rPr>
        <w:t xml:space="preserve"> </w:t>
      </w:r>
      <w:r w:rsidR="00D27D3F" w:rsidRPr="000F506D">
        <w:rPr>
          <w:rFonts w:ascii="Times New Roman" w:eastAsia="Times New Roman" w:hAnsi="Times New Roman" w:cs="Times New Roman"/>
          <w:bCs/>
          <w:kern w:val="36"/>
        </w:rPr>
        <w:t xml:space="preserve">WASC </w:t>
      </w:r>
      <w:r w:rsidR="00B26385" w:rsidRPr="000F506D">
        <w:rPr>
          <w:rFonts w:ascii="Times New Roman" w:eastAsia="Times New Roman" w:hAnsi="Times New Roman" w:cs="Times New Roman"/>
          <w:bCs/>
          <w:kern w:val="36"/>
        </w:rPr>
        <w:t xml:space="preserve">accredited </w:t>
      </w:r>
      <w:r w:rsidR="00D27D3F" w:rsidRPr="000F506D">
        <w:rPr>
          <w:rFonts w:ascii="Times New Roman" w:eastAsia="Times New Roman" w:hAnsi="Times New Roman" w:cs="Times New Roman"/>
          <w:bCs/>
          <w:kern w:val="36"/>
        </w:rPr>
        <w:t>whereas</w:t>
      </w:r>
      <w:r w:rsidR="00B26385" w:rsidRPr="000F506D">
        <w:rPr>
          <w:rFonts w:ascii="Times New Roman" w:eastAsia="Times New Roman" w:hAnsi="Times New Roman" w:cs="Times New Roman"/>
          <w:bCs/>
          <w:kern w:val="36"/>
        </w:rPr>
        <w:t xml:space="preserve"> Everest and WyoTech are not. Those schools who are not WASC accredited are </w:t>
      </w:r>
      <w:r w:rsidRPr="000F506D">
        <w:rPr>
          <w:rFonts w:ascii="Times New Roman" w:eastAsia="Times New Roman" w:hAnsi="Times New Roman" w:cs="Times New Roman"/>
          <w:bCs/>
          <w:kern w:val="36"/>
        </w:rPr>
        <w:t>member</w:t>
      </w:r>
      <w:r w:rsidR="00B26385" w:rsidRPr="000F506D">
        <w:rPr>
          <w:rFonts w:ascii="Times New Roman" w:eastAsia="Times New Roman" w:hAnsi="Times New Roman" w:cs="Times New Roman"/>
          <w:bCs/>
          <w:kern w:val="36"/>
        </w:rPr>
        <w:t>s</w:t>
      </w:r>
      <w:r w:rsidRPr="000F506D">
        <w:rPr>
          <w:rFonts w:ascii="Times New Roman" w:eastAsia="Times New Roman" w:hAnsi="Times New Roman" w:cs="Times New Roman"/>
          <w:bCs/>
          <w:kern w:val="36"/>
        </w:rPr>
        <w:t xml:space="preserve"> of </w:t>
      </w:r>
      <w:r w:rsidR="00B26385" w:rsidRPr="000F506D">
        <w:rPr>
          <w:rFonts w:ascii="Times New Roman" w:eastAsia="Times New Roman" w:hAnsi="Times New Roman" w:cs="Times New Roman"/>
          <w:bCs/>
          <w:kern w:val="36"/>
        </w:rPr>
        <w:t xml:space="preserve">the </w:t>
      </w:r>
      <w:r w:rsidRPr="000F506D">
        <w:rPr>
          <w:rFonts w:ascii="Times New Roman" w:eastAsia="Times New Roman" w:hAnsi="Times New Roman" w:cs="Times New Roman"/>
          <w:bCs/>
          <w:kern w:val="36"/>
        </w:rPr>
        <w:t>Bureau of Private Postsecondary Education</w:t>
      </w:r>
      <w:r w:rsidR="00710566" w:rsidRPr="000F506D">
        <w:rPr>
          <w:rFonts w:ascii="Times New Roman" w:eastAsia="Times New Roman" w:hAnsi="Times New Roman" w:cs="Times New Roman"/>
          <w:bCs/>
          <w:kern w:val="36"/>
        </w:rPr>
        <w:t xml:space="preserve"> administered by the State of California.</w:t>
      </w:r>
      <w:r w:rsidRPr="000F506D">
        <w:rPr>
          <w:rFonts w:ascii="Times New Roman" w:eastAsia="Times New Roman" w:hAnsi="Times New Roman" w:cs="Times New Roman"/>
          <w:bCs/>
          <w:kern w:val="36"/>
        </w:rPr>
        <w:t xml:space="preserve"> This agency holds funds </w:t>
      </w:r>
      <w:r w:rsidR="00B26385" w:rsidRPr="000F506D">
        <w:rPr>
          <w:rFonts w:ascii="Times New Roman" w:eastAsia="Times New Roman" w:hAnsi="Times New Roman" w:cs="Times New Roman"/>
          <w:bCs/>
          <w:kern w:val="36"/>
        </w:rPr>
        <w:t xml:space="preserve">that can reimburse </w:t>
      </w:r>
      <w:r w:rsidR="007015F0" w:rsidRPr="000F506D">
        <w:rPr>
          <w:rFonts w:ascii="Times New Roman" w:eastAsia="Times New Roman" w:hAnsi="Times New Roman" w:cs="Times New Roman"/>
          <w:bCs/>
          <w:kern w:val="36"/>
        </w:rPr>
        <w:t>students their lost tuition from a fund called t</w:t>
      </w:r>
      <w:r w:rsidRPr="000F506D">
        <w:rPr>
          <w:rFonts w:ascii="Times New Roman" w:eastAsia="Times New Roman" w:hAnsi="Times New Roman" w:cs="Times New Roman"/>
          <w:bCs/>
          <w:kern w:val="36"/>
        </w:rPr>
        <w:t>he Student Tuition</w:t>
      </w:r>
      <w:r w:rsidR="00D27D3F" w:rsidRPr="000F506D">
        <w:rPr>
          <w:rFonts w:ascii="Times New Roman" w:eastAsia="Times New Roman" w:hAnsi="Times New Roman" w:cs="Times New Roman"/>
          <w:bCs/>
          <w:kern w:val="36"/>
        </w:rPr>
        <w:t xml:space="preserve"> Recover Fund (STREF) if their school closes.</w:t>
      </w:r>
    </w:p>
    <w:p w:rsidR="00710566" w:rsidRPr="000F506D" w:rsidRDefault="00710566" w:rsidP="00710566">
      <w:pPr>
        <w:rPr>
          <w:rFonts w:ascii="Times New Roman" w:hAnsi="Times New Roman" w:cs="Times New Roman"/>
        </w:rPr>
      </w:pPr>
      <w:r w:rsidRPr="000F506D">
        <w:rPr>
          <w:rFonts w:ascii="Times New Roman" w:eastAsia="Times New Roman" w:hAnsi="Times New Roman" w:cs="Times New Roman"/>
          <w:bCs/>
          <w:kern w:val="36"/>
        </w:rPr>
        <w:t>The following URL provides resources that will help guide you before you enroll elsewhere and free legal advice that you can receive in our local area.</w:t>
      </w:r>
    </w:p>
    <w:p w:rsidR="0005332C" w:rsidRPr="000F506D" w:rsidRDefault="00063D6F" w:rsidP="00710566">
      <w:pPr>
        <w:spacing w:before="100" w:beforeAutospacing="1" w:after="100" w:afterAutospacing="1" w:line="240" w:lineRule="auto"/>
        <w:outlineLvl w:val="0"/>
        <w:rPr>
          <w:rFonts w:ascii="Times New Roman" w:hAnsi="Times New Roman" w:cs="Times New Roman"/>
        </w:rPr>
      </w:pPr>
      <w:hyperlink r:id="rId8" w:history="1">
        <w:r w:rsidR="00710566" w:rsidRPr="000F506D">
          <w:rPr>
            <w:rStyle w:val="Hyperlink"/>
            <w:rFonts w:ascii="Times New Roman" w:hAnsi="Times New Roman" w:cs="Times New Roman"/>
          </w:rPr>
          <w:t>https://oag.ca.gov/consumers/general/corinthian-colleges/roseville</w:t>
        </w:r>
      </w:hyperlink>
    </w:p>
    <w:p w:rsidR="00710566" w:rsidRPr="000F506D" w:rsidRDefault="00D27D3F" w:rsidP="00710566">
      <w:pPr>
        <w:spacing w:before="100" w:beforeAutospacing="1" w:after="100" w:afterAutospacing="1" w:line="240" w:lineRule="auto"/>
        <w:outlineLvl w:val="0"/>
        <w:rPr>
          <w:rFonts w:ascii="Times New Roman" w:hAnsi="Times New Roman" w:cs="Times New Roman"/>
        </w:rPr>
      </w:pPr>
      <w:r w:rsidRPr="000F506D">
        <w:rPr>
          <w:rFonts w:ascii="Times New Roman" w:hAnsi="Times New Roman" w:cs="Times New Roman"/>
        </w:rPr>
        <w:t xml:space="preserve">Federal Student Loans can be discharged if your school closes.  </w:t>
      </w:r>
      <w:r w:rsidR="00710566" w:rsidRPr="000F506D">
        <w:rPr>
          <w:rFonts w:ascii="Times New Roman" w:hAnsi="Times New Roman" w:cs="Times New Roman"/>
        </w:rPr>
        <w:t>A closed school discharge would release you from your obligation to repay your federal loans (such as a Federal Direct Loan, a Perkins Loan, or a Federal Family Education Loan). A closed school discharge is available for students enrolled at the time of school closure, who were on an approved leave of absence, or who withdrew within 120 days of the school closure.</w:t>
      </w:r>
    </w:p>
    <w:p w:rsidR="00710566" w:rsidRPr="000F506D" w:rsidRDefault="00710566" w:rsidP="00710566">
      <w:pPr>
        <w:pStyle w:val="Heading3"/>
        <w:rPr>
          <w:rFonts w:ascii="Times New Roman" w:hAnsi="Times New Roman" w:cs="Times New Roman"/>
          <w:b/>
          <w:sz w:val="22"/>
          <w:szCs w:val="22"/>
        </w:rPr>
      </w:pPr>
      <w:r w:rsidRPr="000F506D">
        <w:rPr>
          <w:rFonts w:ascii="Times New Roman" w:hAnsi="Times New Roman" w:cs="Times New Roman"/>
          <w:b/>
          <w:color w:val="auto"/>
          <w:sz w:val="22"/>
          <w:szCs w:val="22"/>
        </w:rPr>
        <w:lastRenderedPageBreak/>
        <w:t>Educational Opportunities</w:t>
      </w:r>
    </w:p>
    <w:p w:rsidR="00710566" w:rsidRPr="000F506D" w:rsidRDefault="00710566" w:rsidP="00710566">
      <w:pPr>
        <w:pStyle w:val="NormalWeb"/>
        <w:rPr>
          <w:sz w:val="22"/>
          <w:szCs w:val="22"/>
        </w:rPr>
      </w:pPr>
      <w:r w:rsidRPr="006B0BA1">
        <w:rPr>
          <w:rStyle w:val="important"/>
          <w:b/>
          <w:sz w:val="22"/>
          <w:szCs w:val="22"/>
          <w:u w:val="single"/>
        </w:rPr>
        <w:t>IMPORTANT!</w:t>
      </w:r>
      <w:r w:rsidRPr="000F506D">
        <w:rPr>
          <w:sz w:val="22"/>
          <w:szCs w:val="22"/>
        </w:rPr>
        <w:t xml:space="preserve"> If you have the right to a closed school discharge or to access funds from the STRF and you choose to transfer one or more of your existing Corinthian College education credits to another school, then you will </w:t>
      </w:r>
      <w:r w:rsidRPr="000F506D">
        <w:rPr>
          <w:b/>
          <w:sz w:val="22"/>
          <w:szCs w:val="22"/>
        </w:rPr>
        <w:t>lose your right</w:t>
      </w:r>
      <w:r w:rsidRPr="000F506D">
        <w:rPr>
          <w:sz w:val="22"/>
          <w:szCs w:val="22"/>
        </w:rPr>
        <w:t xml:space="preserve"> to a closed school discharge or to funds from STRF. Before you enroll in any new school, be sure to talk to both an academic advisor and a legal aid organization to discuss your options.</w:t>
      </w:r>
      <w:r w:rsidR="00D27D3F" w:rsidRPr="000F506D">
        <w:rPr>
          <w:sz w:val="22"/>
          <w:szCs w:val="22"/>
        </w:rPr>
        <w:t xml:space="preserve"> </w:t>
      </w:r>
    </w:p>
    <w:p w:rsidR="0012616A" w:rsidRDefault="00D27D3F" w:rsidP="00710566">
      <w:pPr>
        <w:pStyle w:val="NormalWeb"/>
        <w:rPr>
          <w:sz w:val="22"/>
          <w:szCs w:val="22"/>
        </w:rPr>
      </w:pPr>
      <w:r w:rsidRPr="000F506D">
        <w:rPr>
          <w:sz w:val="22"/>
          <w:szCs w:val="22"/>
        </w:rPr>
        <w:t xml:space="preserve">You can still attend another school, but you may want to consider not transferring in any units to your new school.  Once your loans are discharged, then you can </w:t>
      </w:r>
      <w:r w:rsidR="0012616A">
        <w:rPr>
          <w:sz w:val="22"/>
          <w:szCs w:val="22"/>
        </w:rPr>
        <w:t xml:space="preserve">consider transferring units.  </w:t>
      </w:r>
    </w:p>
    <w:p w:rsidR="0012616A" w:rsidRDefault="0012616A" w:rsidP="00710566">
      <w:pPr>
        <w:pStyle w:val="NormalWeb"/>
        <w:rPr>
          <w:lang w:val="en"/>
        </w:rPr>
      </w:pPr>
      <w:r>
        <w:rPr>
          <w:lang w:val="en"/>
        </w:rPr>
        <w:t xml:space="preserve">If your loan is discharged and you complete a comparable program at another school through any means by which you benefit from the training provided by the closed school, you </w:t>
      </w:r>
      <w:r w:rsidRPr="0012616A">
        <w:rPr>
          <w:b/>
          <w:i/>
          <w:u w:val="single"/>
          <w:lang w:val="en"/>
        </w:rPr>
        <w:t xml:space="preserve">might </w:t>
      </w:r>
      <w:r>
        <w:rPr>
          <w:lang w:val="en"/>
        </w:rPr>
        <w:t xml:space="preserve">have to pay back the amount that was discharged. By using the word </w:t>
      </w:r>
      <w:r w:rsidRPr="0012616A">
        <w:rPr>
          <w:b/>
          <w:i/>
          <w:u w:val="single"/>
          <w:lang w:val="en"/>
        </w:rPr>
        <w:t>might</w:t>
      </w:r>
      <w:r>
        <w:rPr>
          <w:lang w:val="en"/>
        </w:rPr>
        <w:t xml:space="preserve"> leaves room to work with the US Department of Education should you decide to use your transfer units at a new school.</w:t>
      </w:r>
    </w:p>
    <w:p w:rsidR="0012616A" w:rsidRDefault="0012616A" w:rsidP="00710566">
      <w:pPr>
        <w:pStyle w:val="NormalWeb"/>
        <w:rPr>
          <w:lang w:val="en"/>
        </w:rPr>
      </w:pPr>
      <w:r>
        <w:rPr>
          <w:lang w:val="en"/>
        </w:rPr>
        <w:t>To summarize: You are not eligible for a discharge if you are completing a teach-out agreement or otherwise benefiting from the credits earned at the closed school.</w:t>
      </w:r>
    </w:p>
    <w:p w:rsidR="0012616A" w:rsidRDefault="0012616A" w:rsidP="00710566">
      <w:pPr>
        <w:pStyle w:val="NormalWeb"/>
        <w:rPr>
          <w:lang w:val="en"/>
        </w:rPr>
      </w:pPr>
    </w:p>
    <w:p w:rsidR="0012616A" w:rsidRDefault="0012616A" w:rsidP="00710566">
      <w:pPr>
        <w:pStyle w:val="NormalWeb"/>
        <w:rPr>
          <w:sz w:val="22"/>
          <w:szCs w:val="22"/>
        </w:rPr>
      </w:pPr>
      <w:r>
        <w:rPr>
          <w:lang w:val="en"/>
        </w:rPr>
        <w:t>The following URL will give you additional information from the US Department of Education.</w:t>
      </w:r>
    </w:p>
    <w:p w:rsidR="0012616A" w:rsidRDefault="00063D6F" w:rsidP="00710566">
      <w:pPr>
        <w:pStyle w:val="NormalWeb"/>
        <w:rPr>
          <w:sz w:val="22"/>
          <w:szCs w:val="22"/>
        </w:rPr>
      </w:pPr>
      <w:hyperlink r:id="rId9" w:history="1">
        <w:r w:rsidR="0012616A" w:rsidRPr="00157500">
          <w:rPr>
            <w:rStyle w:val="Hyperlink"/>
            <w:sz w:val="22"/>
            <w:szCs w:val="22"/>
          </w:rPr>
          <w:t>https://studentaid.ed.gov/repay-loans/forgiveness-cancellation/closed-school</w:t>
        </w:r>
      </w:hyperlink>
    </w:p>
    <w:p w:rsidR="00710566" w:rsidRPr="000F506D" w:rsidRDefault="00710566" w:rsidP="00710566">
      <w:pPr>
        <w:pStyle w:val="NormalWeb"/>
        <w:rPr>
          <w:sz w:val="22"/>
          <w:szCs w:val="22"/>
        </w:rPr>
      </w:pPr>
      <w:r w:rsidRPr="000F506D">
        <w:rPr>
          <w:sz w:val="22"/>
          <w:szCs w:val="22"/>
        </w:rPr>
        <w:lastRenderedPageBreak/>
        <w:t xml:space="preserve">Loan Discharge Application: School Closure </w:t>
      </w:r>
    </w:p>
    <w:p w:rsidR="00710566" w:rsidRPr="000F506D" w:rsidRDefault="00063D6F" w:rsidP="00710566">
      <w:pPr>
        <w:pStyle w:val="NormalWeb"/>
        <w:rPr>
          <w:sz w:val="22"/>
          <w:szCs w:val="22"/>
        </w:rPr>
      </w:pPr>
      <w:hyperlink r:id="rId10" w:history="1">
        <w:r w:rsidR="00710566" w:rsidRPr="000F506D">
          <w:rPr>
            <w:rStyle w:val="Hyperlink"/>
            <w:sz w:val="22"/>
            <w:szCs w:val="22"/>
          </w:rPr>
          <w:t>http://www.ifap.ed.gov/dpcletters/attachments/GEN1418AttachLoanDischargeAppSchoolClosure.pdf</w:t>
        </w:r>
      </w:hyperlink>
    </w:p>
    <w:p w:rsidR="00710566" w:rsidRPr="000F506D" w:rsidRDefault="00710566" w:rsidP="00710566">
      <w:pPr>
        <w:pStyle w:val="NormalWeb"/>
        <w:rPr>
          <w:sz w:val="22"/>
          <w:szCs w:val="22"/>
        </w:rPr>
      </w:pPr>
      <w:r w:rsidRPr="000F506D">
        <w:rPr>
          <w:sz w:val="22"/>
          <w:szCs w:val="22"/>
        </w:rPr>
        <w:t>Step-by-step instructions</w:t>
      </w:r>
    </w:p>
    <w:p w:rsidR="00D27D3F" w:rsidRPr="000F506D" w:rsidRDefault="00063D6F" w:rsidP="00710566">
      <w:pPr>
        <w:pStyle w:val="NormalWeb"/>
        <w:rPr>
          <w:sz w:val="22"/>
          <w:szCs w:val="22"/>
        </w:rPr>
      </w:pPr>
      <w:hyperlink r:id="rId11" w:history="1">
        <w:r w:rsidR="00710566" w:rsidRPr="000F506D">
          <w:rPr>
            <w:rStyle w:val="Hyperlink"/>
            <w:sz w:val="22"/>
            <w:szCs w:val="22"/>
          </w:rPr>
          <w:t>http://oag.ca.gov/consumers/general/corinthian-colleges/directions</w:t>
        </w:r>
      </w:hyperlink>
    </w:p>
    <w:p w:rsidR="00E67309" w:rsidRDefault="00D27D3F" w:rsidP="00710566">
      <w:pPr>
        <w:pStyle w:val="NormalWeb"/>
        <w:rPr>
          <w:b/>
          <w:sz w:val="22"/>
          <w:szCs w:val="22"/>
        </w:rPr>
      </w:pPr>
      <w:r w:rsidRPr="000F506D">
        <w:rPr>
          <w:b/>
          <w:sz w:val="22"/>
          <w:szCs w:val="22"/>
        </w:rPr>
        <w:t>Pell Grant Eligibility</w:t>
      </w:r>
    </w:p>
    <w:p w:rsidR="00710566" w:rsidRDefault="00D27D3F" w:rsidP="00710566">
      <w:pPr>
        <w:pStyle w:val="NormalWeb"/>
      </w:pPr>
      <w:r w:rsidRPr="000F506D">
        <w:rPr>
          <w:sz w:val="22"/>
          <w:szCs w:val="22"/>
        </w:rPr>
        <w:t xml:space="preserve">What we don’t know is how your Pell Grant will be treated.  As you know, you have 6 years of full-time eligibility of Pell Grant. You might have used up part of your eligibility while attending a Corinthian school. We are not aware of any new federal legislation that would restore all or part of your Pell Grant Lifetime Eligibility.  </w:t>
      </w:r>
    </w:p>
    <w:sectPr w:rsidR="0071056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D6F" w:rsidRDefault="00063D6F" w:rsidP="00411244">
      <w:pPr>
        <w:spacing w:after="0" w:line="240" w:lineRule="auto"/>
      </w:pPr>
      <w:r>
        <w:separator/>
      </w:r>
    </w:p>
  </w:endnote>
  <w:endnote w:type="continuationSeparator" w:id="0">
    <w:p w:rsidR="00063D6F" w:rsidRDefault="00063D6F" w:rsidP="0041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244" w:rsidRDefault="00411244">
    <w:pPr>
      <w:pStyle w:val="Footer"/>
    </w:pPr>
    <w:r>
      <w:t>4/29/15</w:t>
    </w:r>
  </w:p>
  <w:p w:rsidR="00411244" w:rsidRDefault="00411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D6F" w:rsidRDefault="00063D6F" w:rsidP="00411244">
      <w:pPr>
        <w:spacing w:after="0" w:line="240" w:lineRule="auto"/>
      </w:pPr>
      <w:r>
        <w:separator/>
      </w:r>
    </w:p>
  </w:footnote>
  <w:footnote w:type="continuationSeparator" w:id="0">
    <w:p w:rsidR="00063D6F" w:rsidRDefault="00063D6F" w:rsidP="004112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32"/>
    <w:rsid w:val="0005332C"/>
    <w:rsid w:val="00063D6F"/>
    <w:rsid w:val="000F506D"/>
    <w:rsid w:val="0012616A"/>
    <w:rsid w:val="00176F8A"/>
    <w:rsid w:val="003B2DC1"/>
    <w:rsid w:val="00411244"/>
    <w:rsid w:val="005E1792"/>
    <w:rsid w:val="00677A32"/>
    <w:rsid w:val="006B0BA1"/>
    <w:rsid w:val="007015F0"/>
    <w:rsid w:val="00710566"/>
    <w:rsid w:val="00835274"/>
    <w:rsid w:val="00B26385"/>
    <w:rsid w:val="00BE28E2"/>
    <w:rsid w:val="00CE65C1"/>
    <w:rsid w:val="00D27D3F"/>
    <w:rsid w:val="00E67309"/>
    <w:rsid w:val="00EB3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1A092-6D67-4954-999B-513A1AE5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33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105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A32"/>
    <w:rPr>
      <w:color w:val="0563C1" w:themeColor="hyperlink"/>
      <w:u w:val="single"/>
    </w:rPr>
  </w:style>
  <w:style w:type="character" w:customStyle="1" w:styleId="Heading1Char">
    <w:name w:val="Heading 1 Char"/>
    <w:basedOn w:val="DefaultParagraphFont"/>
    <w:link w:val="Heading1"/>
    <w:uiPriority w:val="9"/>
    <w:rsid w:val="0005332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53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10566"/>
    <w:rPr>
      <w:rFonts w:asciiTheme="majorHAnsi" w:eastAsiaTheme="majorEastAsia" w:hAnsiTheme="majorHAnsi" w:cstheme="majorBidi"/>
      <w:color w:val="1F4D78" w:themeColor="accent1" w:themeShade="7F"/>
      <w:sz w:val="24"/>
      <w:szCs w:val="24"/>
    </w:rPr>
  </w:style>
  <w:style w:type="character" w:customStyle="1" w:styleId="important">
    <w:name w:val="important"/>
    <w:basedOn w:val="DefaultParagraphFont"/>
    <w:rsid w:val="00710566"/>
  </w:style>
  <w:style w:type="character" w:customStyle="1" w:styleId="tip">
    <w:name w:val="tip"/>
    <w:basedOn w:val="DefaultParagraphFont"/>
    <w:rsid w:val="00710566"/>
  </w:style>
  <w:style w:type="paragraph" w:styleId="BalloonText">
    <w:name w:val="Balloon Text"/>
    <w:basedOn w:val="Normal"/>
    <w:link w:val="BalloonTextChar"/>
    <w:uiPriority w:val="99"/>
    <w:semiHidden/>
    <w:unhideWhenUsed/>
    <w:rsid w:val="00E67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09"/>
    <w:rPr>
      <w:rFonts w:ascii="Tahoma" w:hAnsi="Tahoma" w:cs="Tahoma"/>
      <w:sz w:val="16"/>
      <w:szCs w:val="16"/>
    </w:rPr>
  </w:style>
  <w:style w:type="paragraph" w:styleId="Header">
    <w:name w:val="header"/>
    <w:basedOn w:val="Normal"/>
    <w:link w:val="HeaderChar"/>
    <w:uiPriority w:val="99"/>
    <w:unhideWhenUsed/>
    <w:rsid w:val="00411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244"/>
  </w:style>
  <w:style w:type="paragraph" w:styleId="Footer">
    <w:name w:val="footer"/>
    <w:basedOn w:val="Normal"/>
    <w:link w:val="FooterChar"/>
    <w:uiPriority w:val="99"/>
    <w:unhideWhenUsed/>
    <w:rsid w:val="00411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764931">
      <w:bodyDiv w:val="1"/>
      <w:marLeft w:val="0"/>
      <w:marRight w:val="0"/>
      <w:marTop w:val="0"/>
      <w:marBottom w:val="0"/>
      <w:divBdr>
        <w:top w:val="none" w:sz="0" w:space="0" w:color="auto"/>
        <w:left w:val="none" w:sz="0" w:space="0" w:color="auto"/>
        <w:bottom w:val="none" w:sz="0" w:space="0" w:color="auto"/>
        <w:right w:val="none" w:sz="0" w:space="0" w:color="auto"/>
      </w:divBdr>
      <w:divsChild>
        <w:div w:id="1610308232">
          <w:marLeft w:val="0"/>
          <w:marRight w:val="0"/>
          <w:marTop w:val="0"/>
          <w:marBottom w:val="0"/>
          <w:divBdr>
            <w:top w:val="none" w:sz="0" w:space="0" w:color="auto"/>
            <w:left w:val="none" w:sz="0" w:space="0" w:color="auto"/>
            <w:bottom w:val="none" w:sz="0" w:space="0" w:color="auto"/>
            <w:right w:val="none" w:sz="0" w:space="0" w:color="auto"/>
          </w:divBdr>
          <w:divsChild>
            <w:div w:id="1793472195">
              <w:marLeft w:val="0"/>
              <w:marRight w:val="0"/>
              <w:marTop w:val="0"/>
              <w:marBottom w:val="0"/>
              <w:divBdr>
                <w:top w:val="none" w:sz="0" w:space="0" w:color="auto"/>
                <w:left w:val="none" w:sz="0" w:space="0" w:color="auto"/>
                <w:bottom w:val="none" w:sz="0" w:space="0" w:color="auto"/>
                <w:right w:val="none" w:sz="0" w:space="0" w:color="auto"/>
              </w:divBdr>
              <w:divsChild>
                <w:div w:id="1742406519">
                  <w:marLeft w:val="0"/>
                  <w:marRight w:val="0"/>
                  <w:marTop w:val="0"/>
                  <w:marBottom w:val="0"/>
                  <w:divBdr>
                    <w:top w:val="none" w:sz="0" w:space="0" w:color="auto"/>
                    <w:left w:val="none" w:sz="0" w:space="0" w:color="auto"/>
                    <w:bottom w:val="none" w:sz="0" w:space="0" w:color="auto"/>
                    <w:right w:val="none" w:sz="0" w:space="0" w:color="auto"/>
                  </w:divBdr>
                  <w:divsChild>
                    <w:div w:id="969672884">
                      <w:marLeft w:val="0"/>
                      <w:marRight w:val="0"/>
                      <w:marTop w:val="0"/>
                      <w:marBottom w:val="0"/>
                      <w:divBdr>
                        <w:top w:val="none" w:sz="0" w:space="0" w:color="auto"/>
                        <w:left w:val="none" w:sz="0" w:space="0" w:color="auto"/>
                        <w:bottom w:val="none" w:sz="0" w:space="0" w:color="auto"/>
                        <w:right w:val="none" w:sz="0" w:space="0" w:color="auto"/>
                      </w:divBdr>
                      <w:divsChild>
                        <w:div w:id="1522014311">
                          <w:marLeft w:val="0"/>
                          <w:marRight w:val="0"/>
                          <w:marTop w:val="0"/>
                          <w:marBottom w:val="0"/>
                          <w:divBdr>
                            <w:top w:val="none" w:sz="0" w:space="0" w:color="auto"/>
                            <w:left w:val="none" w:sz="0" w:space="0" w:color="auto"/>
                            <w:bottom w:val="none" w:sz="0" w:space="0" w:color="auto"/>
                            <w:right w:val="none" w:sz="0" w:space="0" w:color="auto"/>
                          </w:divBdr>
                          <w:divsChild>
                            <w:div w:id="1441101725">
                              <w:marLeft w:val="0"/>
                              <w:marRight w:val="0"/>
                              <w:marTop w:val="0"/>
                              <w:marBottom w:val="0"/>
                              <w:divBdr>
                                <w:top w:val="none" w:sz="0" w:space="0" w:color="auto"/>
                                <w:left w:val="none" w:sz="0" w:space="0" w:color="auto"/>
                                <w:bottom w:val="none" w:sz="0" w:space="0" w:color="auto"/>
                                <w:right w:val="none" w:sz="0" w:space="0" w:color="auto"/>
                              </w:divBdr>
                              <w:divsChild>
                                <w:div w:id="521162673">
                                  <w:marLeft w:val="0"/>
                                  <w:marRight w:val="0"/>
                                  <w:marTop w:val="0"/>
                                  <w:marBottom w:val="0"/>
                                  <w:divBdr>
                                    <w:top w:val="none" w:sz="0" w:space="0" w:color="auto"/>
                                    <w:left w:val="none" w:sz="0" w:space="0" w:color="auto"/>
                                    <w:bottom w:val="none" w:sz="0" w:space="0" w:color="auto"/>
                                    <w:right w:val="none" w:sz="0" w:space="0" w:color="auto"/>
                                  </w:divBdr>
                                  <w:divsChild>
                                    <w:div w:id="555431547">
                                      <w:marLeft w:val="0"/>
                                      <w:marRight w:val="0"/>
                                      <w:marTop w:val="0"/>
                                      <w:marBottom w:val="0"/>
                                      <w:divBdr>
                                        <w:top w:val="none" w:sz="0" w:space="0" w:color="auto"/>
                                        <w:left w:val="none" w:sz="0" w:space="0" w:color="auto"/>
                                        <w:bottom w:val="none" w:sz="0" w:space="0" w:color="auto"/>
                                        <w:right w:val="none" w:sz="0" w:space="0" w:color="auto"/>
                                      </w:divBdr>
                                      <w:divsChild>
                                        <w:div w:id="274799896">
                                          <w:marLeft w:val="0"/>
                                          <w:marRight w:val="0"/>
                                          <w:marTop w:val="0"/>
                                          <w:marBottom w:val="0"/>
                                          <w:divBdr>
                                            <w:top w:val="none" w:sz="0" w:space="0" w:color="auto"/>
                                            <w:left w:val="none" w:sz="0" w:space="0" w:color="auto"/>
                                            <w:bottom w:val="none" w:sz="0" w:space="0" w:color="auto"/>
                                            <w:right w:val="none" w:sz="0" w:space="0" w:color="auto"/>
                                          </w:divBdr>
                                          <w:divsChild>
                                            <w:div w:id="17361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g.ca.gov/consumers/general/corinthian-colleges/rosevil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ag.ca.gov/consumers/general/corinthian-colleges/directions" TargetMode="External"/><Relationship Id="rId5" Type="http://schemas.openxmlformats.org/officeDocument/2006/relationships/footnotes" Target="footnotes.xml"/><Relationship Id="rId10" Type="http://schemas.openxmlformats.org/officeDocument/2006/relationships/hyperlink" Target="http://www.ifap.ed.gov/dpcletters/attachments/GEN1418AttachLoanDischargeAppSchoolClosure.pdf" TargetMode="External"/><Relationship Id="rId4" Type="http://schemas.openxmlformats.org/officeDocument/2006/relationships/webSettings" Target="webSettings.xml"/><Relationship Id="rId9" Type="http://schemas.openxmlformats.org/officeDocument/2006/relationships/hyperlink" Target="https://studentaid.ed.gov/repay-loans/forgiveness-cancellation/closed-schoo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3BAD5-1CE9-49C9-A961-189F75F6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Sierra College</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Linda</dc:creator>
  <cp:lastModifiedBy>Delgado, Manuel</cp:lastModifiedBy>
  <cp:revision>2</cp:revision>
  <cp:lastPrinted>2015-04-30T18:13:00Z</cp:lastPrinted>
  <dcterms:created xsi:type="dcterms:W3CDTF">2015-05-01T15:51:00Z</dcterms:created>
  <dcterms:modified xsi:type="dcterms:W3CDTF">2015-05-01T15:51:00Z</dcterms:modified>
</cp:coreProperties>
</file>