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A5C66" w14:textId="7FD63BA6" w:rsidR="00E676C1" w:rsidRDefault="00E676C1" w:rsidP="00E676C1">
      <w:pPr>
        <w:pStyle w:val="ListParagraph"/>
        <w:ind w:left="0"/>
        <w:jc w:val="center"/>
        <w:rPr>
          <w:rFonts w:ascii="Source Sans Pro" w:eastAsiaTheme="minorEastAsia" w:hAnsi="Source Sans Pro" w:cs="Arial"/>
          <w:b/>
          <w:caps/>
          <w:sz w:val="26"/>
        </w:rPr>
      </w:pPr>
      <w:r>
        <w:rPr>
          <w:rFonts w:ascii="Source Sans Pro" w:eastAsiaTheme="minorEastAsia" w:hAnsi="Source Sans Pro" w:cs="Arial"/>
          <w:b/>
          <w:caps/>
          <w:sz w:val="26"/>
        </w:rPr>
        <w:t>Equity Considerations in Guided Pathways</w:t>
      </w:r>
    </w:p>
    <w:p w14:paraId="58BB5BB8" w14:textId="77777777" w:rsidR="00E676C1" w:rsidRDefault="00E676C1" w:rsidP="00E676C1">
      <w:pPr>
        <w:pStyle w:val="ListParagraph"/>
        <w:ind w:left="0"/>
        <w:jc w:val="center"/>
        <w:rPr>
          <w:rFonts w:ascii="Source Sans Pro" w:eastAsiaTheme="minorEastAsia" w:hAnsi="Source Sans Pro" w:cs="Arial"/>
          <w:b/>
          <w:caps/>
          <w:sz w:val="26"/>
        </w:rPr>
      </w:pPr>
    </w:p>
    <w:p w14:paraId="741494E4" w14:textId="58955FAE" w:rsidR="00E676C1" w:rsidRDefault="00E676C1" w:rsidP="00E676C1">
      <w:pPr>
        <w:pStyle w:val="ListParagraph"/>
        <w:ind w:left="0"/>
        <w:jc w:val="center"/>
        <w:rPr>
          <w:rFonts w:ascii="Source Sans Pro" w:hAnsi="Source Sans Pro" w:cstheme="majorHAnsi"/>
          <w:b/>
          <w:sz w:val="24"/>
          <w:szCs w:val="20"/>
        </w:rPr>
      </w:pPr>
      <w:r>
        <w:rPr>
          <w:rFonts w:ascii="Source Sans Pro" w:hAnsi="Source Sans Pro" w:cstheme="majorHAnsi"/>
          <w:b/>
          <w:sz w:val="24"/>
          <w:szCs w:val="20"/>
        </w:rPr>
        <w:t>Per the California Community College Chancellor’s Office (CCCCO) as of December 2020</w:t>
      </w:r>
    </w:p>
    <w:p w14:paraId="758476F1" w14:textId="1F9096AB" w:rsidR="00E676C1" w:rsidRDefault="00E676C1" w:rsidP="00E676C1">
      <w:pPr>
        <w:pStyle w:val="ListParagraph"/>
        <w:pBdr>
          <w:bottom w:val="single" w:sz="6" w:space="1" w:color="auto"/>
        </w:pBdr>
        <w:ind w:left="0"/>
        <w:jc w:val="center"/>
        <w:rPr>
          <w:rFonts w:ascii="Source Sans Pro" w:hAnsi="Source Sans Pro" w:cstheme="majorHAnsi"/>
          <w:b/>
          <w:sz w:val="24"/>
          <w:szCs w:val="20"/>
        </w:rPr>
      </w:pPr>
    </w:p>
    <w:p w14:paraId="085A0FDF" w14:textId="77777777" w:rsidR="00E676C1" w:rsidRDefault="00E676C1" w:rsidP="001B7FC8">
      <w:pPr>
        <w:pStyle w:val="ListParagraph"/>
        <w:ind w:left="0"/>
        <w:rPr>
          <w:rFonts w:ascii="Source Sans Pro" w:eastAsiaTheme="minorEastAsia" w:hAnsi="Source Sans Pro" w:cs="Arial"/>
          <w:b/>
          <w:caps/>
          <w:sz w:val="26"/>
        </w:rPr>
      </w:pPr>
    </w:p>
    <w:p w14:paraId="7350530B" w14:textId="00BD2A83" w:rsidR="001B7FC8" w:rsidRPr="00E676C1" w:rsidRDefault="001B7FC8" w:rsidP="001B7FC8">
      <w:pPr>
        <w:pStyle w:val="ListParagraph"/>
        <w:ind w:left="0"/>
        <w:rPr>
          <w:rFonts w:ascii="Source Sans Pro" w:eastAsiaTheme="minorEastAsia" w:hAnsi="Source Sans Pro" w:cs="Arial"/>
          <w:b/>
          <w:caps/>
          <w:sz w:val="26"/>
        </w:rPr>
      </w:pPr>
      <w:r w:rsidRPr="00E676C1">
        <w:rPr>
          <w:rFonts w:ascii="Source Sans Pro" w:eastAsiaTheme="minorEastAsia" w:hAnsi="Source Sans Pro" w:cs="Arial"/>
          <w:b/>
          <w:caps/>
          <w:sz w:val="26"/>
        </w:rPr>
        <w:t>Area 1</w:t>
      </w:r>
    </w:p>
    <w:p w14:paraId="6B8EBC6A" w14:textId="77777777" w:rsidR="001B7FC8" w:rsidRPr="00E676C1" w:rsidRDefault="001B7FC8" w:rsidP="001B7FC8">
      <w:pPr>
        <w:pStyle w:val="ListParagraph"/>
        <w:ind w:left="0"/>
        <w:rPr>
          <w:sz w:val="28"/>
        </w:rPr>
      </w:pPr>
    </w:p>
    <w:p w14:paraId="6B5DFDBF" w14:textId="77777777" w:rsidR="001B7FC8" w:rsidRPr="00E676C1" w:rsidRDefault="001B7FC8" w:rsidP="001B7FC8">
      <w:pPr>
        <w:pStyle w:val="Table"/>
        <w:numPr>
          <w:ilvl w:val="0"/>
          <w:numId w:val="0"/>
        </w:numPr>
        <w:rPr>
          <w:rFonts w:ascii="Source Sans Pro" w:hAnsi="Source Sans Pro" w:cs="Arial"/>
          <w:sz w:val="26"/>
          <w:szCs w:val="22"/>
        </w:rPr>
      </w:pPr>
    </w:p>
    <w:p w14:paraId="0FDC79E8" w14:textId="77777777" w:rsidR="001B7FC8" w:rsidRPr="00E676C1" w:rsidRDefault="001B7FC8" w:rsidP="001B7FC8">
      <w:pPr>
        <w:pStyle w:val="Table"/>
        <w:numPr>
          <w:ilvl w:val="0"/>
          <w:numId w:val="4"/>
        </w:numPr>
        <w:rPr>
          <w:rFonts w:ascii="Source Sans Pro" w:hAnsi="Source Sans Pro" w:cs="Arial"/>
          <w:sz w:val="26"/>
          <w:szCs w:val="22"/>
        </w:rPr>
      </w:pPr>
      <w:r w:rsidRPr="00E676C1">
        <w:rPr>
          <w:rFonts w:ascii="Source Sans Pro" w:hAnsi="Source Sans Pro" w:cs="Arial"/>
          <w:sz w:val="26"/>
          <w:szCs w:val="22"/>
        </w:rPr>
        <w:t>MAPPING Pathways to student end goals</w:t>
      </w:r>
    </w:p>
    <w:p w14:paraId="183D73F4" w14:textId="77777777" w:rsidR="001B7FC8" w:rsidRPr="00E676C1" w:rsidRDefault="001B7FC8" w:rsidP="001B7FC8">
      <w:pPr>
        <w:pStyle w:val="Tableindent"/>
        <w:numPr>
          <w:ilvl w:val="0"/>
          <w:numId w:val="1"/>
        </w:numPr>
        <w:rPr>
          <w:rFonts w:ascii="Source Sans Pro" w:hAnsi="Source Sans Pro" w:cs="Arial"/>
          <w:sz w:val="26"/>
          <w:szCs w:val="22"/>
        </w:rPr>
      </w:pPr>
      <w:r w:rsidRPr="00E676C1">
        <w:rPr>
          <w:rFonts w:ascii="Source Sans Pro" w:hAnsi="Source Sans Pro" w:cs="Arial"/>
          <w:sz w:val="26"/>
          <w:szCs w:val="22"/>
        </w:rPr>
        <w:t xml:space="preserve">Programs are organized and marketed in broad career-focused academic and communities or “meta-majors”. </w:t>
      </w:r>
    </w:p>
    <w:p w14:paraId="089613BD" w14:textId="77777777" w:rsidR="001B7FC8" w:rsidRPr="00E676C1" w:rsidRDefault="001B7FC8" w:rsidP="001B7FC8">
      <w:pPr>
        <w:pStyle w:val="Tableindent"/>
        <w:numPr>
          <w:ilvl w:val="0"/>
          <w:numId w:val="1"/>
        </w:numPr>
        <w:rPr>
          <w:rFonts w:ascii="Source Sans Pro" w:hAnsi="Source Sans Pro" w:cs="Arial"/>
          <w:sz w:val="26"/>
          <w:szCs w:val="22"/>
        </w:rPr>
      </w:pPr>
      <w:r w:rsidRPr="00E676C1">
        <w:rPr>
          <w:rFonts w:ascii="Source Sans Pro" w:hAnsi="Source Sans Pro" w:cs="Arial"/>
          <w:sz w:val="26"/>
          <w:szCs w:val="22"/>
        </w:rPr>
        <w:t>Every program is well designed to guide and prepare students to enter employment and further education in fields of importance to the college’s service area.</w:t>
      </w:r>
    </w:p>
    <w:p w14:paraId="007FE0B4" w14:textId="77777777" w:rsidR="001B7FC8" w:rsidRPr="00E676C1" w:rsidRDefault="001B7FC8" w:rsidP="001B7FC8">
      <w:pPr>
        <w:pStyle w:val="Tableindent"/>
        <w:numPr>
          <w:ilvl w:val="0"/>
          <w:numId w:val="1"/>
        </w:numPr>
        <w:rPr>
          <w:rFonts w:ascii="Source Sans Pro" w:hAnsi="Source Sans Pro" w:cs="Arial"/>
          <w:sz w:val="26"/>
          <w:szCs w:val="22"/>
        </w:rPr>
      </w:pPr>
      <w:r w:rsidRPr="00E676C1">
        <w:rPr>
          <w:rFonts w:ascii="Source Sans Pro" w:hAnsi="Source Sans Pro" w:cs="Arial"/>
          <w:sz w:val="26"/>
          <w:szCs w:val="22"/>
        </w:rPr>
        <w:t>Detailed information is provided on the college’s website on the employment and further education opportunities targeted by each program.</w:t>
      </w:r>
    </w:p>
    <w:p w14:paraId="44DBFEDB" w14:textId="77777777" w:rsidR="001B7FC8" w:rsidRPr="00E676C1" w:rsidRDefault="001B7FC8" w:rsidP="001B7FC8">
      <w:pPr>
        <w:pStyle w:val="Tableindent"/>
        <w:numPr>
          <w:ilvl w:val="0"/>
          <w:numId w:val="1"/>
        </w:numPr>
        <w:rPr>
          <w:rFonts w:ascii="Source Sans Pro" w:hAnsi="Source Sans Pro" w:cs="Arial"/>
          <w:sz w:val="26"/>
          <w:szCs w:val="22"/>
        </w:rPr>
      </w:pPr>
      <w:r w:rsidRPr="00E676C1">
        <w:rPr>
          <w:rFonts w:ascii="Source Sans Pro" w:hAnsi="Source Sans Pro" w:cs="Arial"/>
          <w:sz w:val="26"/>
          <w:szCs w:val="22"/>
        </w:rPr>
        <w:t>Programs are clearly mapped out for students. Students know which courses they should take and in what sequence. Courses critical for success in each program and other key progress milestones are clearly identified. All this information is easily accessible on the college’s website.</w:t>
      </w:r>
    </w:p>
    <w:p w14:paraId="46CCEA81" w14:textId="10AFC431" w:rsidR="001B7FC8" w:rsidRPr="00E676C1" w:rsidRDefault="001B7FC8" w:rsidP="001B7FC8">
      <w:pPr>
        <w:pStyle w:val="Tableindent"/>
        <w:numPr>
          <w:ilvl w:val="0"/>
          <w:numId w:val="1"/>
        </w:numPr>
        <w:rPr>
          <w:rFonts w:ascii="Source Sans Pro" w:hAnsi="Source Sans Pro" w:cstheme="majorHAnsi"/>
          <w:szCs w:val="20"/>
        </w:rPr>
      </w:pPr>
      <w:r w:rsidRPr="00E676C1">
        <w:rPr>
          <w:rFonts w:ascii="Source Sans Pro" w:hAnsi="Source Sans Pro" w:cs="Arial"/>
          <w:sz w:val="26"/>
          <w:szCs w:val="22"/>
        </w:rPr>
        <w:t>Required math courses are appropriately aligned with the student’s field of study.</w:t>
      </w:r>
    </w:p>
    <w:p w14:paraId="42064AD1" w14:textId="79292F36" w:rsidR="00E676C1" w:rsidRDefault="00E676C1" w:rsidP="00E676C1">
      <w:pPr>
        <w:pStyle w:val="Tableindent"/>
        <w:numPr>
          <w:ilvl w:val="0"/>
          <w:numId w:val="0"/>
        </w:numPr>
        <w:ind w:left="360" w:hanging="360"/>
        <w:rPr>
          <w:rFonts w:ascii="Source Sans Pro" w:hAnsi="Source Sans Pro" w:cstheme="majorHAnsi"/>
          <w:szCs w:val="20"/>
        </w:rPr>
      </w:pPr>
    </w:p>
    <w:p w14:paraId="3C05177D" w14:textId="77777777" w:rsidR="00E676C1" w:rsidRPr="00E676C1" w:rsidRDefault="00E676C1" w:rsidP="00E676C1">
      <w:pPr>
        <w:pStyle w:val="Tableindent"/>
        <w:numPr>
          <w:ilvl w:val="0"/>
          <w:numId w:val="0"/>
        </w:numPr>
        <w:ind w:left="360" w:hanging="360"/>
        <w:rPr>
          <w:rFonts w:ascii="Source Sans Pro" w:hAnsi="Source Sans Pro" w:cstheme="majorHAnsi"/>
          <w:szCs w:val="20"/>
        </w:rPr>
      </w:pPr>
    </w:p>
    <w:p w14:paraId="6B472299" w14:textId="77777777" w:rsidR="00E676C1" w:rsidRPr="00E676C1" w:rsidRDefault="00E676C1" w:rsidP="00E676C1">
      <w:pPr>
        <w:rPr>
          <w:rFonts w:ascii="Source Sans Pro" w:hAnsi="Source Sans Pro" w:cstheme="majorHAnsi"/>
          <w:b/>
          <w:sz w:val="24"/>
          <w:szCs w:val="20"/>
        </w:rPr>
      </w:pPr>
      <w:r w:rsidRPr="00E676C1">
        <w:rPr>
          <w:rFonts w:ascii="Source Sans Pro" w:hAnsi="Source Sans Pro" w:cstheme="majorHAnsi"/>
          <w:b/>
          <w:sz w:val="24"/>
          <w:szCs w:val="20"/>
        </w:rPr>
        <w:t>Equity Considerations in Area 1:</w:t>
      </w:r>
    </w:p>
    <w:p w14:paraId="23072A44" w14:textId="77777777" w:rsidR="00E676C1" w:rsidRPr="00E676C1" w:rsidRDefault="00E676C1" w:rsidP="00E676C1">
      <w:pPr>
        <w:pStyle w:val="ListParagraph"/>
        <w:numPr>
          <w:ilvl w:val="0"/>
          <w:numId w:val="1"/>
        </w:numPr>
        <w:rPr>
          <w:rFonts w:ascii="Source Sans Pro" w:hAnsi="Source Sans Pro" w:cstheme="majorHAnsi"/>
          <w:sz w:val="24"/>
          <w:szCs w:val="20"/>
        </w:rPr>
      </w:pPr>
      <w:r w:rsidRPr="00E676C1">
        <w:rPr>
          <w:rFonts w:ascii="Source Sans Pro" w:hAnsi="Source Sans Pro" w:cstheme="majorHAnsi"/>
          <w:sz w:val="24"/>
          <w:szCs w:val="20"/>
        </w:rPr>
        <w:t>Are the college’s website and program pages easy to navigate and understand for students and families without prior experience with higher education?</w:t>
      </w:r>
    </w:p>
    <w:p w14:paraId="64ED2EB8" w14:textId="77777777" w:rsidR="00E676C1" w:rsidRPr="00E676C1" w:rsidRDefault="00E676C1" w:rsidP="00E676C1">
      <w:pPr>
        <w:pStyle w:val="ListParagraph"/>
        <w:numPr>
          <w:ilvl w:val="0"/>
          <w:numId w:val="1"/>
        </w:numPr>
        <w:rPr>
          <w:rFonts w:ascii="Source Sans Pro" w:hAnsi="Source Sans Pro" w:cstheme="majorHAnsi"/>
          <w:sz w:val="24"/>
          <w:szCs w:val="20"/>
        </w:rPr>
      </w:pPr>
      <w:r w:rsidRPr="00E676C1">
        <w:rPr>
          <w:rFonts w:ascii="Source Sans Pro" w:hAnsi="Source Sans Pro" w:cstheme="majorHAnsi"/>
          <w:sz w:val="24"/>
          <w:szCs w:val="20"/>
        </w:rPr>
        <w:t>How could the college ensure that access to and use of this information is equitable for students who have been historically underrepresented and/or underserved in higher education (e.g., racial/ethnic minority students, lower-income students, first-generation students, students with disabilities, indigenous students, formerly incarcerated students, veterans, undocumented students, etc.)?</w:t>
      </w:r>
    </w:p>
    <w:p w14:paraId="7A2635A3" w14:textId="77777777" w:rsidR="00E676C1" w:rsidRPr="00E676C1" w:rsidRDefault="00E676C1" w:rsidP="00E676C1">
      <w:pPr>
        <w:pStyle w:val="ListParagraph"/>
        <w:numPr>
          <w:ilvl w:val="0"/>
          <w:numId w:val="1"/>
        </w:numPr>
        <w:rPr>
          <w:rFonts w:ascii="Source Sans Pro" w:hAnsi="Source Sans Pro" w:cstheme="majorHAnsi"/>
          <w:sz w:val="24"/>
          <w:szCs w:val="20"/>
        </w:rPr>
      </w:pPr>
      <w:r w:rsidRPr="00E676C1">
        <w:rPr>
          <w:rFonts w:ascii="Source Sans Pro" w:hAnsi="Source Sans Pro" w:cstheme="majorHAnsi"/>
          <w:sz w:val="24"/>
          <w:szCs w:val="20"/>
        </w:rPr>
        <w:t>How are financial costs, potential debt, and economic benefits of program completion (including paths to program-relevant regional employment, projected earnings, and transfer outcomes) made clear for prospective students? Do program websites clarify differences in earnings potential between related certificates and degrees and across levels of educational attainment?</w:t>
      </w:r>
    </w:p>
    <w:p w14:paraId="3E4D3F17" w14:textId="77777777" w:rsidR="001B7FC8" w:rsidRPr="00E676C1" w:rsidRDefault="001B7FC8" w:rsidP="001B7FC8">
      <w:pPr>
        <w:pStyle w:val="Table"/>
        <w:numPr>
          <w:ilvl w:val="0"/>
          <w:numId w:val="0"/>
        </w:numPr>
        <w:rPr>
          <w:rFonts w:ascii="Source Sans Pro" w:hAnsi="Source Sans Pro" w:cs="Arial"/>
          <w:sz w:val="26"/>
          <w:szCs w:val="22"/>
        </w:rPr>
      </w:pPr>
    </w:p>
    <w:p w14:paraId="347A223C" w14:textId="77777777" w:rsidR="001B7FC8" w:rsidRPr="00E676C1" w:rsidRDefault="001B7FC8" w:rsidP="001B7FC8">
      <w:pPr>
        <w:pStyle w:val="ListParagraph"/>
        <w:ind w:left="0"/>
        <w:rPr>
          <w:rFonts w:ascii="Source Sans Pro" w:eastAsiaTheme="minorEastAsia" w:hAnsi="Source Sans Pro" w:cs="Arial"/>
          <w:b/>
          <w:caps/>
          <w:sz w:val="26"/>
        </w:rPr>
      </w:pPr>
      <w:r w:rsidRPr="00E676C1">
        <w:rPr>
          <w:rFonts w:ascii="Source Sans Pro" w:eastAsiaTheme="minorEastAsia" w:hAnsi="Source Sans Pro" w:cs="Arial"/>
          <w:b/>
          <w:caps/>
          <w:sz w:val="26"/>
        </w:rPr>
        <w:br w:type="page"/>
      </w:r>
    </w:p>
    <w:p w14:paraId="4C801935" w14:textId="77777777" w:rsidR="001B7FC8" w:rsidRPr="00E676C1" w:rsidRDefault="001B7FC8" w:rsidP="001B7FC8">
      <w:pPr>
        <w:pStyle w:val="ListParagraph"/>
        <w:ind w:left="0"/>
        <w:rPr>
          <w:rFonts w:ascii="Source Sans Pro" w:eastAsiaTheme="minorEastAsia" w:hAnsi="Source Sans Pro" w:cs="Arial"/>
          <w:b/>
          <w:caps/>
          <w:sz w:val="26"/>
        </w:rPr>
      </w:pPr>
      <w:r w:rsidRPr="00E676C1">
        <w:rPr>
          <w:rFonts w:ascii="Source Sans Pro" w:eastAsiaTheme="minorEastAsia" w:hAnsi="Source Sans Pro" w:cs="Arial"/>
          <w:b/>
          <w:caps/>
          <w:sz w:val="26"/>
        </w:rPr>
        <w:lastRenderedPageBreak/>
        <w:t>Area 2</w:t>
      </w:r>
    </w:p>
    <w:p w14:paraId="6953F60B" w14:textId="77777777" w:rsidR="001B7FC8" w:rsidRPr="00E676C1" w:rsidRDefault="001B7FC8" w:rsidP="001B7FC8">
      <w:pPr>
        <w:pStyle w:val="ListParagraph"/>
        <w:ind w:left="0"/>
        <w:rPr>
          <w:sz w:val="28"/>
        </w:rPr>
      </w:pPr>
    </w:p>
    <w:p w14:paraId="064F57D9" w14:textId="77777777" w:rsidR="001B7FC8" w:rsidRPr="00E676C1" w:rsidRDefault="001B7FC8" w:rsidP="001B7FC8">
      <w:pPr>
        <w:pStyle w:val="Table"/>
        <w:numPr>
          <w:ilvl w:val="0"/>
          <w:numId w:val="4"/>
        </w:numPr>
        <w:rPr>
          <w:rFonts w:ascii="Source Sans Pro" w:hAnsi="Source Sans Pro" w:cs="Arial"/>
          <w:sz w:val="26"/>
          <w:szCs w:val="22"/>
        </w:rPr>
      </w:pPr>
      <w:r w:rsidRPr="00E676C1">
        <w:rPr>
          <w:rFonts w:ascii="Source Sans Pro" w:hAnsi="Source Sans Pro" w:cs="Arial"/>
          <w:sz w:val="26"/>
          <w:szCs w:val="22"/>
        </w:rPr>
        <w:t>HELPING STUDENTS CHOOSE AND ENTER A PROGRAM PATHWAY</w:t>
      </w:r>
    </w:p>
    <w:p w14:paraId="2CE9E1D8" w14:textId="77777777" w:rsidR="001B7FC8" w:rsidRPr="00E676C1" w:rsidRDefault="001B7FC8" w:rsidP="001B7FC8">
      <w:pPr>
        <w:pStyle w:val="Tableindent"/>
        <w:numPr>
          <w:ilvl w:val="0"/>
          <w:numId w:val="5"/>
        </w:numPr>
        <w:rPr>
          <w:rFonts w:ascii="Source Sans Pro" w:hAnsi="Source Sans Pro" w:cs="Arial"/>
          <w:sz w:val="26"/>
          <w:szCs w:val="22"/>
        </w:rPr>
      </w:pPr>
      <w:r w:rsidRPr="00E676C1">
        <w:rPr>
          <w:rFonts w:ascii="Source Sans Pro" w:hAnsi="Source Sans Pro" w:cs="Arial"/>
          <w:sz w:val="26"/>
          <w:szCs w:val="22"/>
        </w:rPr>
        <w:t>Every new student is helped to explore career/college options, choose a program of study, and develop a full-program plan as soon as possible.</w:t>
      </w:r>
    </w:p>
    <w:p w14:paraId="2389F649" w14:textId="77777777" w:rsidR="001B7FC8" w:rsidRPr="00E676C1" w:rsidRDefault="001B7FC8" w:rsidP="001B7FC8">
      <w:pPr>
        <w:pStyle w:val="Tableindent"/>
        <w:numPr>
          <w:ilvl w:val="0"/>
          <w:numId w:val="5"/>
        </w:numPr>
        <w:rPr>
          <w:rFonts w:ascii="Source Sans Pro" w:hAnsi="Source Sans Pro" w:cs="Arial"/>
          <w:sz w:val="26"/>
          <w:szCs w:val="22"/>
        </w:rPr>
      </w:pPr>
      <w:r w:rsidRPr="00E676C1">
        <w:rPr>
          <w:rFonts w:ascii="Source Sans Pro" w:hAnsi="Source Sans Pro" w:cs="Arial"/>
          <w:sz w:val="26"/>
          <w:szCs w:val="22"/>
        </w:rPr>
        <w:t xml:space="preserve">Special supports are provided to help academically underprepared students to succeed in the “gateway” courses for the college’s </w:t>
      </w:r>
      <w:r w:rsidRPr="00E676C1">
        <w:rPr>
          <w:rFonts w:ascii="Source Sans Pro" w:hAnsi="Source Sans Pro" w:cs="Arial"/>
          <w:b/>
          <w:sz w:val="26"/>
          <w:szCs w:val="22"/>
        </w:rPr>
        <w:t>major program areas</w:t>
      </w:r>
      <w:r w:rsidRPr="00E676C1">
        <w:rPr>
          <w:rFonts w:ascii="Source Sans Pro" w:hAnsi="Source Sans Pro" w:cs="Arial"/>
          <w:sz w:val="26"/>
          <w:szCs w:val="22"/>
        </w:rPr>
        <w:t>.</w:t>
      </w:r>
    </w:p>
    <w:p w14:paraId="7EBA07B0" w14:textId="77777777" w:rsidR="001B7FC8" w:rsidRPr="00E676C1" w:rsidRDefault="001B7FC8" w:rsidP="001B7FC8">
      <w:pPr>
        <w:pStyle w:val="Tableindent"/>
        <w:numPr>
          <w:ilvl w:val="0"/>
          <w:numId w:val="5"/>
        </w:numPr>
        <w:rPr>
          <w:rFonts w:ascii="Source Sans Pro" w:hAnsi="Source Sans Pro" w:cs="Arial"/>
          <w:sz w:val="26"/>
          <w:szCs w:val="22"/>
        </w:rPr>
      </w:pPr>
      <w:r w:rsidRPr="00E676C1">
        <w:rPr>
          <w:rFonts w:ascii="Source Sans Pro" w:hAnsi="Source Sans Pro"/>
          <w:sz w:val="26"/>
          <w:szCs w:val="22"/>
        </w:rPr>
        <w:t xml:space="preserve">Special supports are provided to help academically underprepared students to succeed in the program-relevant “gateway” </w:t>
      </w:r>
      <w:r w:rsidRPr="00E676C1">
        <w:rPr>
          <w:rFonts w:ascii="Source Sans Pro" w:hAnsi="Source Sans Pro"/>
          <w:b/>
          <w:sz w:val="26"/>
          <w:szCs w:val="22"/>
        </w:rPr>
        <w:t>math</w:t>
      </w:r>
      <w:r w:rsidRPr="00E676C1">
        <w:rPr>
          <w:rFonts w:ascii="Source Sans Pro" w:hAnsi="Source Sans Pro"/>
          <w:sz w:val="26"/>
          <w:szCs w:val="22"/>
        </w:rPr>
        <w:t xml:space="preserve"> courses by the end of their first year.</w:t>
      </w:r>
    </w:p>
    <w:p w14:paraId="41C5DB7B" w14:textId="77777777" w:rsidR="001B7FC8" w:rsidRPr="00E676C1" w:rsidRDefault="001B7FC8" w:rsidP="001B7FC8">
      <w:pPr>
        <w:pStyle w:val="Tableindent"/>
        <w:numPr>
          <w:ilvl w:val="0"/>
          <w:numId w:val="5"/>
        </w:numPr>
        <w:rPr>
          <w:rFonts w:ascii="Source Sans Pro" w:hAnsi="Source Sans Pro" w:cs="Arial"/>
          <w:sz w:val="26"/>
          <w:szCs w:val="22"/>
        </w:rPr>
      </w:pPr>
      <w:r w:rsidRPr="00E676C1">
        <w:rPr>
          <w:rFonts w:ascii="Source Sans Pro" w:hAnsi="Source Sans Pro"/>
          <w:sz w:val="26"/>
          <w:szCs w:val="22"/>
        </w:rPr>
        <w:t xml:space="preserve">Special supports are provided to help academically underprepared students to succeed in the “gateway” </w:t>
      </w:r>
      <w:r w:rsidRPr="00E676C1">
        <w:rPr>
          <w:rFonts w:ascii="Source Sans Pro" w:hAnsi="Source Sans Pro"/>
          <w:b/>
          <w:sz w:val="26"/>
          <w:szCs w:val="22"/>
        </w:rPr>
        <w:t>English</w:t>
      </w:r>
      <w:r w:rsidRPr="00E676C1">
        <w:rPr>
          <w:rFonts w:ascii="Source Sans Pro" w:hAnsi="Source Sans Pro"/>
          <w:sz w:val="26"/>
          <w:szCs w:val="22"/>
        </w:rPr>
        <w:t xml:space="preserve"> courses by the end of their first year.</w:t>
      </w:r>
    </w:p>
    <w:p w14:paraId="5E81D0ED" w14:textId="77777777" w:rsidR="001B7FC8" w:rsidRPr="00E676C1" w:rsidRDefault="001B7FC8" w:rsidP="001B7FC8">
      <w:pPr>
        <w:pStyle w:val="Tableindent"/>
        <w:numPr>
          <w:ilvl w:val="0"/>
          <w:numId w:val="5"/>
        </w:numPr>
        <w:rPr>
          <w:rFonts w:ascii="Source Sans Pro" w:hAnsi="Source Sans Pro" w:cs="Arial"/>
          <w:sz w:val="26"/>
          <w:szCs w:val="22"/>
        </w:rPr>
      </w:pPr>
      <w:r w:rsidRPr="00E676C1">
        <w:rPr>
          <w:rFonts w:ascii="Source Sans Pro" w:hAnsi="Source Sans Pro" w:cs="Arial"/>
          <w:sz w:val="26"/>
          <w:szCs w:val="22"/>
        </w:rPr>
        <w:t>Intensive support is provided to help very poorly prepared students to succeed in college-level courses as soon as possible.</w:t>
      </w:r>
    </w:p>
    <w:p w14:paraId="35390CBC" w14:textId="77777777" w:rsidR="001B7FC8" w:rsidRPr="00E676C1" w:rsidRDefault="001B7FC8" w:rsidP="001B7FC8">
      <w:pPr>
        <w:pStyle w:val="Tableindent"/>
        <w:numPr>
          <w:ilvl w:val="0"/>
          <w:numId w:val="5"/>
        </w:numPr>
        <w:rPr>
          <w:rFonts w:ascii="Source Sans Pro" w:hAnsi="Source Sans Pro" w:cs="Arial"/>
          <w:sz w:val="26"/>
          <w:szCs w:val="22"/>
        </w:rPr>
      </w:pPr>
      <w:r w:rsidRPr="00E676C1">
        <w:rPr>
          <w:rFonts w:ascii="Source Sans Pro" w:hAnsi="Source Sans Pro" w:cs="Arial"/>
          <w:sz w:val="26"/>
          <w:szCs w:val="22"/>
        </w:rPr>
        <w:t>The college works with high schools and other feeders to motivate and prepare students to enter college-level coursework in a program of study when they enroll in college.</w:t>
      </w:r>
    </w:p>
    <w:p w14:paraId="68AA4CB4" w14:textId="77777777" w:rsidR="001B7FC8" w:rsidRPr="00E676C1" w:rsidRDefault="001B7FC8" w:rsidP="001B7FC8">
      <w:pPr>
        <w:pStyle w:val="Table"/>
        <w:numPr>
          <w:ilvl w:val="0"/>
          <w:numId w:val="0"/>
        </w:numPr>
        <w:ind w:left="274" w:hanging="274"/>
        <w:rPr>
          <w:rFonts w:ascii="Source Sans Pro" w:hAnsi="Source Sans Pro" w:cs="Arial"/>
          <w:sz w:val="26"/>
          <w:szCs w:val="22"/>
        </w:rPr>
      </w:pPr>
    </w:p>
    <w:p w14:paraId="77B7E9A9" w14:textId="43AE4229" w:rsidR="00E676C1" w:rsidRPr="00E676C1" w:rsidRDefault="00E676C1" w:rsidP="00E676C1">
      <w:pPr>
        <w:rPr>
          <w:rFonts w:ascii="Source Sans Pro" w:hAnsi="Source Sans Pro" w:cstheme="majorHAnsi"/>
          <w:b/>
          <w:sz w:val="24"/>
          <w:szCs w:val="20"/>
        </w:rPr>
      </w:pPr>
      <w:r w:rsidRPr="00E676C1">
        <w:rPr>
          <w:rFonts w:ascii="Source Sans Pro" w:hAnsi="Source Sans Pro" w:cstheme="majorHAnsi"/>
          <w:b/>
          <w:sz w:val="24"/>
          <w:szCs w:val="20"/>
        </w:rPr>
        <w:t>Equity Considerations in Area 2:</w:t>
      </w:r>
    </w:p>
    <w:p w14:paraId="658BFEE4" w14:textId="77777777" w:rsidR="00E676C1" w:rsidRPr="00E676C1" w:rsidRDefault="00E676C1" w:rsidP="00E676C1">
      <w:pPr>
        <w:pStyle w:val="ListParagraph"/>
        <w:numPr>
          <w:ilvl w:val="0"/>
          <w:numId w:val="7"/>
        </w:numPr>
        <w:ind w:left="600"/>
        <w:rPr>
          <w:rFonts w:ascii="Source Sans Pro" w:hAnsi="Source Sans Pro" w:cs="Arial"/>
          <w:i/>
          <w:sz w:val="24"/>
          <w:szCs w:val="20"/>
        </w:rPr>
      </w:pPr>
      <w:r w:rsidRPr="00E676C1">
        <w:rPr>
          <w:rFonts w:ascii="Source Sans Pro" w:hAnsi="Source Sans Pro" w:cs="Arial"/>
          <w:sz w:val="24"/>
          <w:szCs w:val="20"/>
        </w:rPr>
        <w:t>Does the college assess whether historically underrepresented and high needs students are disproportionately enrolled in programs that lead to lower remuneration careers? Has the college considered how it can help underrepresented students raise their educational and career expectations while at the same time meeting their more immediate economic needs?</w:t>
      </w:r>
    </w:p>
    <w:p w14:paraId="46BE4C77" w14:textId="77777777" w:rsidR="00E676C1" w:rsidRPr="00E676C1" w:rsidRDefault="00E676C1" w:rsidP="00E676C1">
      <w:pPr>
        <w:pStyle w:val="ListParagraph"/>
        <w:numPr>
          <w:ilvl w:val="0"/>
          <w:numId w:val="7"/>
        </w:numPr>
        <w:ind w:left="600"/>
        <w:rPr>
          <w:rFonts w:ascii="Source Sans Pro" w:hAnsi="Source Sans Pro" w:cs="Arial"/>
          <w:sz w:val="24"/>
          <w:szCs w:val="20"/>
        </w:rPr>
      </w:pPr>
      <w:r w:rsidRPr="00E676C1">
        <w:rPr>
          <w:rFonts w:ascii="Source Sans Pro" w:hAnsi="Source Sans Pro" w:cs="Arial"/>
          <w:sz w:val="24"/>
          <w:szCs w:val="20"/>
        </w:rPr>
        <w:t>For critical program courses, does the college disaggregate enrollment, pass rate, and subsequent success data by student characteristics? What strategies has the college used to improve overall student success in these courses?</w:t>
      </w:r>
    </w:p>
    <w:p w14:paraId="0D8850B1" w14:textId="77777777" w:rsidR="00E676C1" w:rsidRPr="00E676C1" w:rsidRDefault="00E676C1" w:rsidP="00E676C1">
      <w:pPr>
        <w:pStyle w:val="ListParagraph"/>
        <w:numPr>
          <w:ilvl w:val="0"/>
          <w:numId w:val="7"/>
        </w:numPr>
        <w:ind w:left="600"/>
        <w:rPr>
          <w:rFonts w:ascii="Source Sans Pro" w:hAnsi="Source Sans Pro" w:cs="Arial"/>
          <w:sz w:val="24"/>
          <w:szCs w:val="20"/>
        </w:rPr>
      </w:pPr>
      <w:r w:rsidRPr="00E676C1">
        <w:rPr>
          <w:rFonts w:ascii="Source Sans Pro" w:hAnsi="Source Sans Pro" w:cs="Arial"/>
          <w:sz w:val="24"/>
          <w:szCs w:val="20"/>
        </w:rPr>
        <w:t>Does the college proactively partner with feeder high schools that serve predominantly underrepresented and high needs students to help students explore academic and career interests and develop viable plans for college? Are dual enrollment opportunities made available to high school students who are deemed “not yet college ready”? Is the college building bridges to high-opportunity college programs for students in adult basic skills programs?</w:t>
      </w:r>
    </w:p>
    <w:p w14:paraId="684D8F5F" w14:textId="77777777" w:rsidR="001B7FC8" w:rsidRPr="00E676C1" w:rsidRDefault="001B7FC8" w:rsidP="001B7FC8">
      <w:pPr>
        <w:pStyle w:val="ListParagraph"/>
        <w:ind w:left="0"/>
        <w:rPr>
          <w:rFonts w:ascii="Source Sans Pro" w:eastAsiaTheme="minorEastAsia" w:hAnsi="Source Sans Pro" w:cs="Arial"/>
          <w:b/>
          <w:caps/>
          <w:sz w:val="26"/>
        </w:rPr>
      </w:pPr>
    </w:p>
    <w:p w14:paraId="49DC46A7" w14:textId="77777777" w:rsidR="00E676C1" w:rsidRDefault="00E676C1">
      <w:pPr>
        <w:rPr>
          <w:rFonts w:ascii="Source Sans Pro" w:eastAsiaTheme="minorEastAsia" w:hAnsi="Source Sans Pro" w:cs="Arial"/>
          <w:b/>
          <w:caps/>
          <w:sz w:val="26"/>
        </w:rPr>
      </w:pPr>
      <w:r>
        <w:rPr>
          <w:rFonts w:ascii="Source Sans Pro" w:eastAsiaTheme="minorEastAsia" w:hAnsi="Source Sans Pro" w:cs="Arial"/>
          <w:b/>
          <w:caps/>
          <w:sz w:val="26"/>
        </w:rPr>
        <w:br w:type="page"/>
      </w:r>
    </w:p>
    <w:p w14:paraId="028224A1" w14:textId="0F2CEF12" w:rsidR="001B7FC8" w:rsidRPr="00E676C1" w:rsidRDefault="001B7FC8" w:rsidP="001B7FC8">
      <w:pPr>
        <w:pStyle w:val="ListParagraph"/>
        <w:ind w:left="0"/>
        <w:rPr>
          <w:rFonts w:ascii="Source Sans Pro" w:eastAsiaTheme="minorEastAsia" w:hAnsi="Source Sans Pro" w:cs="Arial"/>
          <w:b/>
          <w:caps/>
          <w:sz w:val="26"/>
        </w:rPr>
      </w:pPr>
      <w:r w:rsidRPr="00E676C1">
        <w:rPr>
          <w:rFonts w:ascii="Source Sans Pro" w:eastAsiaTheme="minorEastAsia" w:hAnsi="Source Sans Pro" w:cs="Arial"/>
          <w:b/>
          <w:caps/>
          <w:sz w:val="26"/>
        </w:rPr>
        <w:lastRenderedPageBreak/>
        <w:t>Area 3</w:t>
      </w:r>
    </w:p>
    <w:p w14:paraId="55C3E44B" w14:textId="77777777" w:rsidR="001B7FC8" w:rsidRPr="00E676C1" w:rsidRDefault="001B7FC8" w:rsidP="001B7FC8">
      <w:pPr>
        <w:pStyle w:val="ListParagraph"/>
        <w:ind w:left="0"/>
        <w:rPr>
          <w:sz w:val="28"/>
        </w:rPr>
      </w:pPr>
    </w:p>
    <w:p w14:paraId="73A9DE14" w14:textId="77777777" w:rsidR="001B7FC8" w:rsidRPr="00E676C1" w:rsidRDefault="001B7FC8" w:rsidP="001B7FC8">
      <w:pPr>
        <w:pStyle w:val="Table"/>
        <w:numPr>
          <w:ilvl w:val="0"/>
          <w:numId w:val="0"/>
        </w:numPr>
        <w:ind w:left="274" w:hanging="274"/>
        <w:rPr>
          <w:rFonts w:ascii="Source Sans Pro" w:hAnsi="Source Sans Pro" w:cs="Arial"/>
          <w:sz w:val="26"/>
          <w:szCs w:val="22"/>
        </w:rPr>
      </w:pPr>
    </w:p>
    <w:p w14:paraId="56B990B6" w14:textId="77777777" w:rsidR="001B7FC8" w:rsidRPr="00E676C1" w:rsidRDefault="001B7FC8" w:rsidP="001B7FC8">
      <w:pPr>
        <w:pStyle w:val="ListParagraph"/>
        <w:numPr>
          <w:ilvl w:val="0"/>
          <w:numId w:val="4"/>
        </w:numPr>
        <w:rPr>
          <w:rFonts w:ascii="Source Sans Pro" w:eastAsiaTheme="minorEastAsia" w:hAnsi="Source Sans Pro" w:cs="Arial"/>
          <w:b/>
          <w:caps/>
          <w:sz w:val="26"/>
        </w:rPr>
      </w:pPr>
      <w:r w:rsidRPr="00E676C1">
        <w:rPr>
          <w:rFonts w:ascii="Source Sans Pro" w:eastAsiaTheme="minorEastAsia" w:hAnsi="Source Sans Pro" w:cs="Arial"/>
          <w:b/>
          <w:caps/>
          <w:sz w:val="26"/>
        </w:rPr>
        <w:t>KEEPING STUDENT ON PATH</w:t>
      </w:r>
    </w:p>
    <w:p w14:paraId="27F1823E" w14:textId="77777777" w:rsidR="001B7FC8" w:rsidRPr="00E676C1" w:rsidRDefault="001B7FC8" w:rsidP="001B7FC8">
      <w:pPr>
        <w:rPr>
          <w:rFonts w:ascii="Source Sans Pro" w:eastAsiaTheme="minorEastAsia" w:hAnsi="Source Sans Pro" w:cs="Arial"/>
          <w:b/>
          <w:caps/>
          <w:sz w:val="26"/>
        </w:rPr>
      </w:pPr>
    </w:p>
    <w:p w14:paraId="771E3C1E" w14:textId="77777777" w:rsidR="001B7FC8" w:rsidRPr="00E676C1" w:rsidRDefault="001B7FC8" w:rsidP="001B7FC8">
      <w:pPr>
        <w:pStyle w:val="ListParagraph"/>
        <w:numPr>
          <w:ilvl w:val="0"/>
          <w:numId w:val="6"/>
        </w:numPr>
        <w:rPr>
          <w:rFonts w:ascii="Source Sans Pro" w:eastAsiaTheme="minorEastAsia" w:hAnsi="Source Sans Pro" w:cs="Arial"/>
          <w:b/>
          <w:caps/>
          <w:sz w:val="26"/>
        </w:rPr>
      </w:pPr>
      <w:r w:rsidRPr="00E676C1">
        <w:rPr>
          <w:rFonts w:ascii="Source Sans Pro" w:hAnsi="Source Sans Pro"/>
          <w:sz w:val="26"/>
        </w:rPr>
        <w:t>Advisors monitor which program every student is in and how far along the student is toward completing the program requirements.</w:t>
      </w:r>
    </w:p>
    <w:p w14:paraId="5DF5428F" w14:textId="77777777" w:rsidR="001B7FC8" w:rsidRPr="00E676C1" w:rsidRDefault="001B7FC8" w:rsidP="001B7FC8">
      <w:pPr>
        <w:pStyle w:val="ListParagraph"/>
        <w:numPr>
          <w:ilvl w:val="0"/>
          <w:numId w:val="6"/>
        </w:numPr>
        <w:rPr>
          <w:rFonts w:ascii="Source Sans Pro" w:eastAsiaTheme="minorEastAsia" w:hAnsi="Source Sans Pro" w:cs="Arial"/>
          <w:b/>
          <w:caps/>
          <w:sz w:val="26"/>
        </w:rPr>
      </w:pPr>
      <w:r w:rsidRPr="00E676C1">
        <w:rPr>
          <w:rFonts w:ascii="Source Sans Pro" w:hAnsi="Source Sans Pro"/>
          <w:sz w:val="26"/>
        </w:rPr>
        <w:t>Students can easily see how far they have come and what they need to do to complete their program.</w:t>
      </w:r>
    </w:p>
    <w:p w14:paraId="250744F0" w14:textId="77777777" w:rsidR="001B7FC8" w:rsidRPr="00E676C1" w:rsidRDefault="001B7FC8" w:rsidP="001B7FC8">
      <w:pPr>
        <w:pStyle w:val="ListParagraph"/>
        <w:numPr>
          <w:ilvl w:val="0"/>
          <w:numId w:val="6"/>
        </w:numPr>
        <w:rPr>
          <w:rFonts w:ascii="Source Sans Pro" w:eastAsiaTheme="minorEastAsia" w:hAnsi="Source Sans Pro" w:cs="Arial"/>
          <w:b/>
          <w:caps/>
          <w:sz w:val="26"/>
        </w:rPr>
      </w:pPr>
      <w:r w:rsidRPr="00E676C1">
        <w:rPr>
          <w:rFonts w:ascii="Source Sans Pro" w:hAnsi="Source Sans Pro" w:cs="Arial"/>
          <w:sz w:val="26"/>
        </w:rPr>
        <w:t>Advisors and students are alerted when students are at risk of falling off their program plans and have policies and supports in place to intervene in ways that help students get back on track.</w:t>
      </w:r>
    </w:p>
    <w:p w14:paraId="22EC6EA0" w14:textId="77777777" w:rsidR="001B7FC8" w:rsidRPr="00E676C1" w:rsidRDefault="001B7FC8" w:rsidP="001B7FC8">
      <w:pPr>
        <w:pStyle w:val="ListParagraph"/>
        <w:numPr>
          <w:ilvl w:val="0"/>
          <w:numId w:val="6"/>
        </w:numPr>
        <w:rPr>
          <w:rFonts w:ascii="Source Sans Pro" w:eastAsiaTheme="minorEastAsia" w:hAnsi="Source Sans Pro" w:cs="Arial"/>
          <w:b/>
          <w:caps/>
          <w:sz w:val="26"/>
        </w:rPr>
      </w:pPr>
      <w:r w:rsidRPr="00E676C1">
        <w:rPr>
          <w:rFonts w:ascii="Source Sans Pro" w:hAnsi="Source Sans Pro" w:cs="Arial"/>
          <w:sz w:val="26"/>
        </w:rPr>
        <w:t>Assistance is provided to students who are unlikely to be accepted into limited-access programs, such as nursing or culinary arts, to redirect them to another more viable path to credentials and a career.</w:t>
      </w:r>
    </w:p>
    <w:p w14:paraId="635CB5E2" w14:textId="77777777" w:rsidR="001B7FC8" w:rsidRPr="00E676C1" w:rsidRDefault="001B7FC8" w:rsidP="001B7FC8">
      <w:pPr>
        <w:pStyle w:val="Tableindent"/>
        <w:numPr>
          <w:ilvl w:val="0"/>
          <w:numId w:val="6"/>
        </w:numPr>
        <w:rPr>
          <w:rFonts w:ascii="Source Sans Pro" w:hAnsi="Source Sans Pro" w:cs="Arial"/>
          <w:sz w:val="26"/>
          <w:szCs w:val="22"/>
        </w:rPr>
      </w:pPr>
      <w:r w:rsidRPr="00E676C1">
        <w:rPr>
          <w:rFonts w:ascii="Source Sans Pro" w:hAnsi="Source Sans Pro" w:cs="Arial"/>
          <w:sz w:val="26"/>
          <w:szCs w:val="22"/>
        </w:rPr>
        <w:t>The college schedules courses to ensure students can take the courses they need when they need them, can plan their lives around school from one term to the next, and can complete their programs in as short a time as possible.</w:t>
      </w:r>
    </w:p>
    <w:p w14:paraId="76BA7D0F" w14:textId="77777777" w:rsidR="001B7FC8" w:rsidRPr="00E676C1" w:rsidRDefault="001B7FC8" w:rsidP="001B7FC8">
      <w:pPr>
        <w:pStyle w:val="ListParagraph"/>
        <w:rPr>
          <w:rFonts w:ascii="Source Sans Pro" w:eastAsiaTheme="minorEastAsia" w:hAnsi="Source Sans Pro" w:cs="Arial"/>
          <w:b/>
          <w:caps/>
          <w:sz w:val="26"/>
        </w:rPr>
      </w:pPr>
    </w:p>
    <w:p w14:paraId="5822302C" w14:textId="77777777" w:rsidR="00E676C1" w:rsidRPr="00E676C1" w:rsidRDefault="00E676C1" w:rsidP="00E676C1">
      <w:pPr>
        <w:rPr>
          <w:rFonts w:ascii="Source Sans Pro" w:hAnsi="Source Sans Pro" w:cstheme="majorHAnsi"/>
          <w:b/>
          <w:sz w:val="24"/>
          <w:szCs w:val="20"/>
        </w:rPr>
      </w:pPr>
      <w:r w:rsidRPr="00E676C1">
        <w:rPr>
          <w:rFonts w:ascii="Source Sans Pro" w:hAnsi="Source Sans Pro" w:cstheme="majorHAnsi"/>
          <w:b/>
          <w:sz w:val="24"/>
          <w:szCs w:val="20"/>
        </w:rPr>
        <w:t>Equity Considerations in Area 3:</w:t>
      </w:r>
    </w:p>
    <w:p w14:paraId="329EDB9B" w14:textId="77777777" w:rsidR="00E676C1" w:rsidRPr="00E676C1" w:rsidRDefault="00E676C1" w:rsidP="00E676C1">
      <w:pPr>
        <w:pStyle w:val="ListParagraph"/>
        <w:numPr>
          <w:ilvl w:val="0"/>
          <w:numId w:val="7"/>
        </w:numPr>
        <w:ind w:left="600"/>
        <w:rPr>
          <w:rFonts w:ascii="Source Sans Pro" w:hAnsi="Source Sans Pro" w:cs="Arial"/>
          <w:i/>
          <w:sz w:val="24"/>
        </w:rPr>
      </w:pPr>
      <w:r w:rsidRPr="00E676C1">
        <w:rPr>
          <w:rFonts w:ascii="Source Sans Pro" w:hAnsi="Source Sans Pro" w:cs="Arial"/>
          <w:sz w:val="24"/>
        </w:rPr>
        <w:t>How does the institution support advisors to incorporate engaging, proactive, and culturally relevant advising practices to better support underrepresented students’ success in their programs?</w:t>
      </w:r>
    </w:p>
    <w:p w14:paraId="135B9810" w14:textId="77777777" w:rsidR="00E676C1" w:rsidRPr="00E676C1" w:rsidRDefault="00E676C1" w:rsidP="00E676C1">
      <w:pPr>
        <w:pStyle w:val="ListParagraph"/>
        <w:numPr>
          <w:ilvl w:val="0"/>
          <w:numId w:val="7"/>
        </w:numPr>
        <w:ind w:left="600"/>
        <w:rPr>
          <w:rFonts w:ascii="Source Sans Pro" w:hAnsi="Source Sans Pro" w:cs="Arial"/>
          <w:sz w:val="24"/>
        </w:rPr>
      </w:pPr>
      <w:r w:rsidRPr="00E676C1">
        <w:rPr>
          <w:rFonts w:ascii="Source Sans Pro" w:hAnsi="Source Sans Pro" w:cs="Arial"/>
          <w:sz w:val="24"/>
        </w:rPr>
        <w:t xml:space="preserve">How does the college ensure that underrepresented students are not disproportionately directed away from competitive, limited access programs? </w:t>
      </w:r>
    </w:p>
    <w:p w14:paraId="3BE54D9E" w14:textId="77777777" w:rsidR="00E676C1" w:rsidRPr="00E676C1" w:rsidRDefault="00E676C1" w:rsidP="00E676C1">
      <w:pPr>
        <w:pStyle w:val="ListParagraph"/>
        <w:numPr>
          <w:ilvl w:val="0"/>
          <w:numId w:val="7"/>
        </w:numPr>
        <w:ind w:left="600"/>
        <w:rPr>
          <w:rFonts w:ascii="Source Sans Pro" w:hAnsi="Source Sans Pro" w:cs="Arial"/>
          <w:sz w:val="24"/>
        </w:rPr>
      </w:pPr>
      <w:r w:rsidRPr="00E676C1">
        <w:rPr>
          <w:rFonts w:ascii="Source Sans Pro" w:hAnsi="Source Sans Pro" w:cs="Arial"/>
          <w:sz w:val="24"/>
        </w:rPr>
        <w:t xml:space="preserve">How does the college integrate academic and student support services into pathways so that the support is unavoidable and therefore less stigmatized? </w:t>
      </w:r>
    </w:p>
    <w:p w14:paraId="66DF7BE4" w14:textId="77777777" w:rsidR="00E676C1" w:rsidRPr="00E676C1" w:rsidRDefault="00E676C1" w:rsidP="00E676C1">
      <w:pPr>
        <w:pStyle w:val="ListParagraph"/>
        <w:numPr>
          <w:ilvl w:val="0"/>
          <w:numId w:val="7"/>
        </w:numPr>
        <w:ind w:left="600"/>
        <w:rPr>
          <w:rFonts w:ascii="Source Sans Pro" w:hAnsi="Source Sans Pro" w:cs="Arial"/>
          <w:sz w:val="24"/>
        </w:rPr>
      </w:pPr>
      <w:r w:rsidRPr="00E676C1">
        <w:rPr>
          <w:rFonts w:ascii="Source Sans Pro" w:hAnsi="Source Sans Pro" w:cs="Arial"/>
          <w:sz w:val="24"/>
        </w:rPr>
        <w:t>How does the college ensure that low-income students' financial stability needs (e.g., nutrition, transportation, childcare, public benefits, emergency assistance) are being met so they can make progress toward program completion?</w:t>
      </w:r>
    </w:p>
    <w:p w14:paraId="6B5CA01B" w14:textId="77777777" w:rsidR="001B7FC8" w:rsidRPr="00E676C1" w:rsidRDefault="001B7FC8" w:rsidP="001B7FC8">
      <w:pPr>
        <w:pStyle w:val="Table"/>
        <w:numPr>
          <w:ilvl w:val="0"/>
          <w:numId w:val="0"/>
        </w:numPr>
        <w:ind w:left="274" w:hanging="274"/>
        <w:rPr>
          <w:rFonts w:ascii="Source Sans Pro" w:hAnsi="Source Sans Pro" w:cs="Arial"/>
          <w:sz w:val="26"/>
          <w:szCs w:val="22"/>
        </w:rPr>
      </w:pPr>
    </w:p>
    <w:p w14:paraId="5B772F28" w14:textId="77777777" w:rsidR="001B7FC8" w:rsidRPr="00E676C1" w:rsidRDefault="001B7FC8" w:rsidP="001B7FC8">
      <w:pPr>
        <w:pStyle w:val="ListParagraph"/>
        <w:ind w:left="0"/>
        <w:rPr>
          <w:rFonts w:ascii="Source Sans Pro" w:eastAsiaTheme="minorEastAsia" w:hAnsi="Source Sans Pro" w:cs="Arial"/>
          <w:b/>
          <w:caps/>
          <w:sz w:val="26"/>
        </w:rPr>
      </w:pPr>
      <w:r w:rsidRPr="00E676C1">
        <w:rPr>
          <w:rFonts w:ascii="Source Sans Pro" w:eastAsiaTheme="minorEastAsia" w:hAnsi="Source Sans Pro" w:cs="Arial"/>
          <w:b/>
          <w:caps/>
          <w:sz w:val="26"/>
        </w:rPr>
        <w:br w:type="page"/>
      </w:r>
    </w:p>
    <w:p w14:paraId="0658FB69" w14:textId="77777777" w:rsidR="001B7FC8" w:rsidRPr="00E676C1" w:rsidRDefault="001B7FC8" w:rsidP="001B7FC8">
      <w:pPr>
        <w:pStyle w:val="ListParagraph"/>
        <w:ind w:left="0"/>
        <w:rPr>
          <w:rFonts w:ascii="Source Sans Pro" w:eastAsiaTheme="minorEastAsia" w:hAnsi="Source Sans Pro" w:cs="Arial"/>
          <w:b/>
          <w:caps/>
          <w:sz w:val="26"/>
        </w:rPr>
      </w:pPr>
      <w:r w:rsidRPr="00E676C1">
        <w:rPr>
          <w:rFonts w:ascii="Source Sans Pro" w:eastAsiaTheme="minorEastAsia" w:hAnsi="Source Sans Pro" w:cs="Arial"/>
          <w:b/>
          <w:caps/>
          <w:sz w:val="26"/>
        </w:rPr>
        <w:lastRenderedPageBreak/>
        <w:t>Area 4</w:t>
      </w:r>
    </w:p>
    <w:p w14:paraId="1EB19183" w14:textId="77777777" w:rsidR="001B7FC8" w:rsidRPr="00E676C1" w:rsidRDefault="001B7FC8" w:rsidP="001B7FC8">
      <w:pPr>
        <w:pStyle w:val="ListParagraph"/>
        <w:ind w:left="0"/>
        <w:rPr>
          <w:sz w:val="28"/>
        </w:rPr>
      </w:pPr>
    </w:p>
    <w:p w14:paraId="253E0BE8" w14:textId="77777777" w:rsidR="001B7FC8" w:rsidRPr="00E676C1" w:rsidRDefault="001B7FC8" w:rsidP="001B7FC8">
      <w:pPr>
        <w:pStyle w:val="ListParagraph"/>
        <w:numPr>
          <w:ilvl w:val="0"/>
          <w:numId w:val="4"/>
        </w:numPr>
        <w:rPr>
          <w:rFonts w:ascii="Source Sans Pro" w:eastAsiaTheme="minorEastAsia" w:hAnsi="Source Sans Pro" w:cs="Arial"/>
          <w:b/>
          <w:caps/>
          <w:sz w:val="26"/>
        </w:rPr>
      </w:pPr>
      <w:r w:rsidRPr="00E676C1">
        <w:rPr>
          <w:rFonts w:ascii="Source Sans Pro" w:eastAsiaTheme="minorEastAsia" w:hAnsi="Source Sans Pro" w:cs="Arial"/>
          <w:b/>
          <w:caps/>
          <w:sz w:val="26"/>
        </w:rPr>
        <w:t>ENSURING THAT STUDENTS ARE LEARNING</w:t>
      </w:r>
    </w:p>
    <w:p w14:paraId="585B97E0" w14:textId="77777777" w:rsidR="001B7FC8" w:rsidRPr="00E676C1" w:rsidRDefault="001B7FC8" w:rsidP="001B7FC8">
      <w:pPr>
        <w:rPr>
          <w:rFonts w:ascii="Source Sans Pro" w:eastAsiaTheme="minorEastAsia" w:hAnsi="Source Sans Pro" w:cs="Arial"/>
          <w:b/>
          <w:caps/>
          <w:sz w:val="26"/>
        </w:rPr>
      </w:pPr>
    </w:p>
    <w:p w14:paraId="4CDE48FC" w14:textId="77777777" w:rsidR="001B7FC8" w:rsidRPr="00E676C1" w:rsidRDefault="001B7FC8" w:rsidP="001B7FC8">
      <w:pPr>
        <w:pStyle w:val="ListParagraph"/>
        <w:numPr>
          <w:ilvl w:val="0"/>
          <w:numId w:val="6"/>
        </w:numPr>
        <w:rPr>
          <w:rFonts w:ascii="Source Sans Pro" w:hAnsi="Source Sans Pro"/>
          <w:sz w:val="26"/>
        </w:rPr>
      </w:pPr>
      <w:r w:rsidRPr="00E676C1">
        <w:rPr>
          <w:rFonts w:ascii="Source Sans Pro" w:hAnsi="Source Sans Pro"/>
          <w:sz w:val="26"/>
        </w:rPr>
        <w:t>Program learning outcomes are aligned with the requirements for success in the further education and employment outcomes targeted by each program.</w:t>
      </w:r>
    </w:p>
    <w:p w14:paraId="06A2D8DF" w14:textId="77777777" w:rsidR="001B7FC8" w:rsidRPr="00E676C1" w:rsidRDefault="001B7FC8" w:rsidP="001B7FC8">
      <w:pPr>
        <w:pStyle w:val="ListParagraph"/>
        <w:numPr>
          <w:ilvl w:val="0"/>
          <w:numId w:val="6"/>
        </w:numPr>
        <w:rPr>
          <w:rFonts w:ascii="Source Sans Pro" w:hAnsi="Source Sans Pro"/>
          <w:sz w:val="26"/>
        </w:rPr>
      </w:pPr>
      <w:r w:rsidRPr="00E676C1">
        <w:rPr>
          <w:rFonts w:ascii="Source Sans Pro" w:hAnsi="Source Sans Pro"/>
          <w:sz w:val="26"/>
        </w:rPr>
        <w:t>Instruction across programs (especially in program introductory courses) engages students in active and applied learning, encouraging them to think critically, solve meaningful problems, and work and communicate effectively with others.</w:t>
      </w:r>
    </w:p>
    <w:p w14:paraId="30669703" w14:textId="77777777" w:rsidR="001B7FC8" w:rsidRPr="00E676C1" w:rsidRDefault="001B7FC8" w:rsidP="001B7FC8">
      <w:pPr>
        <w:pStyle w:val="ListParagraph"/>
        <w:numPr>
          <w:ilvl w:val="0"/>
          <w:numId w:val="6"/>
        </w:numPr>
        <w:rPr>
          <w:rFonts w:ascii="Source Sans Pro" w:hAnsi="Source Sans Pro"/>
          <w:sz w:val="26"/>
        </w:rPr>
      </w:pPr>
      <w:r w:rsidRPr="00E676C1">
        <w:rPr>
          <w:rFonts w:ascii="Source Sans Pro" w:hAnsi="Source Sans Pro" w:cs="Arial"/>
          <w:sz w:val="26"/>
        </w:rPr>
        <w:t>Students have ample opportunity to apply and deepen knowledge and skills through projects, internships, co-ops, clinical placements, group projects outside of class, service learning, study abroad and other experiential learning activities that program faculty intentionally embed into coursework.</w:t>
      </w:r>
    </w:p>
    <w:p w14:paraId="6ABC2A2D" w14:textId="77777777" w:rsidR="001B7FC8" w:rsidRPr="00E676C1" w:rsidRDefault="001B7FC8" w:rsidP="001B7FC8">
      <w:pPr>
        <w:pStyle w:val="ListParagraph"/>
        <w:numPr>
          <w:ilvl w:val="0"/>
          <w:numId w:val="6"/>
        </w:numPr>
        <w:rPr>
          <w:rFonts w:ascii="Source Sans Pro" w:hAnsi="Source Sans Pro"/>
          <w:sz w:val="26"/>
        </w:rPr>
      </w:pPr>
      <w:r w:rsidRPr="00E676C1">
        <w:rPr>
          <w:rFonts w:ascii="Source Sans Pro" w:hAnsi="Source Sans Pro" w:cs="Arial"/>
          <w:sz w:val="26"/>
        </w:rPr>
        <w:t>Faculty/programs assess whether students are mastering learning outcomes and building skills across each program, in both arts and sciences and career/technical programs.</w:t>
      </w:r>
    </w:p>
    <w:p w14:paraId="4FAAE341" w14:textId="77777777" w:rsidR="001B7FC8" w:rsidRPr="00E676C1" w:rsidRDefault="001B7FC8" w:rsidP="001B7FC8">
      <w:pPr>
        <w:pStyle w:val="ListParagraph"/>
        <w:numPr>
          <w:ilvl w:val="0"/>
          <w:numId w:val="6"/>
        </w:numPr>
        <w:rPr>
          <w:rFonts w:ascii="Source Sans Pro" w:hAnsi="Source Sans Pro"/>
          <w:sz w:val="26"/>
        </w:rPr>
      </w:pPr>
      <w:r w:rsidRPr="00E676C1">
        <w:rPr>
          <w:rFonts w:ascii="Source Sans Pro" w:hAnsi="Source Sans Pro"/>
          <w:sz w:val="26"/>
        </w:rPr>
        <w:t>Results of learning outcomes assessments are used to improve teaching and learning through program review, professional development, and other intentional campus efforts.</w:t>
      </w:r>
    </w:p>
    <w:p w14:paraId="69DD0575" w14:textId="77777777" w:rsidR="001B7FC8" w:rsidRPr="00E676C1" w:rsidRDefault="001B7FC8" w:rsidP="001B7FC8">
      <w:pPr>
        <w:pStyle w:val="ListParagraph"/>
        <w:numPr>
          <w:ilvl w:val="0"/>
          <w:numId w:val="6"/>
        </w:numPr>
        <w:rPr>
          <w:rFonts w:ascii="Source Sans Pro" w:hAnsi="Source Sans Pro"/>
          <w:sz w:val="26"/>
        </w:rPr>
      </w:pPr>
      <w:r w:rsidRPr="00E676C1">
        <w:rPr>
          <w:rFonts w:ascii="Source Sans Pro" w:hAnsi="Source Sans Pro"/>
          <w:sz w:val="26"/>
        </w:rPr>
        <w:t>The college helps students document their learning for employers and universities through portfolios and other means beyond transcripts.</w:t>
      </w:r>
    </w:p>
    <w:p w14:paraId="5F275954" w14:textId="77777777" w:rsidR="001B7FC8" w:rsidRPr="00E676C1" w:rsidRDefault="001B7FC8" w:rsidP="001B7FC8">
      <w:pPr>
        <w:pStyle w:val="ListParagraph"/>
        <w:numPr>
          <w:ilvl w:val="0"/>
          <w:numId w:val="6"/>
        </w:numPr>
        <w:rPr>
          <w:rFonts w:ascii="Source Sans Pro" w:hAnsi="Source Sans Pro"/>
          <w:sz w:val="26"/>
        </w:rPr>
      </w:pPr>
      <w:r w:rsidRPr="00E676C1">
        <w:rPr>
          <w:rFonts w:ascii="Source Sans Pro" w:hAnsi="Source Sans Pro" w:cs="Arial"/>
          <w:sz w:val="26"/>
        </w:rPr>
        <w:t>The college assesses effectiveness of educational practice (e.g. using CCSSE or SENSE, etc.) and uses the results to create targeted professional development.</w:t>
      </w:r>
    </w:p>
    <w:p w14:paraId="039AE714" w14:textId="77777777" w:rsidR="001B7FC8" w:rsidRPr="00E676C1" w:rsidRDefault="001B7FC8" w:rsidP="001B7FC8">
      <w:pPr>
        <w:rPr>
          <w:rFonts w:ascii="Source Sans Pro" w:hAnsi="Source Sans Pro"/>
          <w:sz w:val="26"/>
        </w:rPr>
      </w:pPr>
    </w:p>
    <w:p w14:paraId="43606FEE" w14:textId="77777777" w:rsidR="00E676C1" w:rsidRPr="00E676C1" w:rsidRDefault="00E676C1" w:rsidP="00E676C1">
      <w:pPr>
        <w:rPr>
          <w:rFonts w:ascii="Source Sans Pro" w:hAnsi="Source Sans Pro" w:cstheme="majorHAnsi"/>
          <w:b/>
          <w:sz w:val="24"/>
          <w:szCs w:val="20"/>
        </w:rPr>
      </w:pPr>
      <w:r w:rsidRPr="00E676C1">
        <w:rPr>
          <w:rFonts w:ascii="Source Sans Pro" w:hAnsi="Source Sans Pro" w:cstheme="majorHAnsi"/>
          <w:b/>
          <w:sz w:val="24"/>
          <w:szCs w:val="20"/>
        </w:rPr>
        <w:t>Equity Considerations in Area :</w:t>
      </w:r>
    </w:p>
    <w:p w14:paraId="65B2CC5C" w14:textId="77777777" w:rsidR="00E676C1" w:rsidRPr="00E676C1" w:rsidRDefault="00E676C1" w:rsidP="00E676C1">
      <w:pPr>
        <w:pStyle w:val="ListParagraph"/>
        <w:numPr>
          <w:ilvl w:val="0"/>
          <w:numId w:val="6"/>
        </w:numPr>
        <w:rPr>
          <w:rFonts w:ascii="Source Sans Pro" w:hAnsi="Source Sans Pro"/>
          <w:sz w:val="26"/>
        </w:rPr>
      </w:pPr>
      <w:r w:rsidRPr="00E676C1">
        <w:rPr>
          <w:rFonts w:ascii="Source Sans Pro" w:hAnsi="Source Sans Pro"/>
          <w:sz w:val="26"/>
        </w:rPr>
        <w:t>How is the college ensuring that underrepresented students participate in program-relevant active and experiential learning opportunities?</w:t>
      </w:r>
    </w:p>
    <w:p w14:paraId="1756C987" w14:textId="77777777" w:rsidR="00E676C1" w:rsidRPr="00E676C1" w:rsidRDefault="00E676C1" w:rsidP="00E676C1">
      <w:pPr>
        <w:pStyle w:val="ListParagraph"/>
        <w:numPr>
          <w:ilvl w:val="0"/>
          <w:numId w:val="6"/>
        </w:numPr>
        <w:rPr>
          <w:rFonts w:ascii="Source Sans Pro" w:hAnsi="Source Sans Pro"/>
          <w:sz w:val="26"/>
        </w:rPr>
      </w:pPr>
      <w:r w:rsidRPr="00E676C1">
        <w:rPr>
          <w:rFonts w:ascii="Source Sans Pro" w:hAnsi="Source Sans Pro"/>
          <w:sz w:val="26"/>
        </w:rPr>
        <w:t>As faculty make curricular changes to better align course assignments with program learning outcomes, how does the college support faculty to implement pedagogical changes that better support learning outcomes success for underrepresented students (e.g., culturally responsive teaching)?</w:t>
      </w:r>
    </w:p>
    <w:p w14:paraId="777E0D4A" w14:textId="77777777" w:rsidR="00E676C1" w:rsidRPr="00E676C1" w:rsidRDefault="00E676C1" w:rsidP="00E676C1">
      <w:pPr>
        <w:pStyle w:val="ListParagraph"/>
        <w:numPr>
          <w:ilvl w:val="0"/>
          <w:numId w:val="6"/>
        </w:numPr>
        <w:rPr>
          <w:rFonts w:ascii="Source Sans Pro" w:hAnsi="Source Sans Pro"/>
          <w:sz w:val="26"/>
        </w:rPr>
      </w:pPr>
      <w:r w:rsidRPr="00E676C1">
        <w:rPr>
          <w:rFonts w:ascii="Source Sans Pro" w:hAnsi="Source Sans Pro"/>
          <w:sz w:val="26"/>
        </w:rPr>
        <w:t>What opportunities exist for faculty or advisors to critically examine their role in advancing equity-minded teaching and advising practices at the college (e.g., critically examining the role of unconscious bias in the classroom or advising that could affect student aspirations for a particular field and/or program selection)?</w:t>
      </w:r>
    </w:p>
    <w:p w14:paraId="39D0DA80" w14:textId="77777777" w:rsidR="00E676C1" w:rsidRPr="00E676C1" w:rsidRDefault="00E676C1" w:rsidP="00E676C1">
      <w:pPr>
        <w:pStyle w:val="ListParagraph"/>
        <w:numPr>
          <w:ilvl w:val="0"/>
          <w:numId w:val="6"/>
        </w:numPr>
        <w:rPr>
          <w:rFonts w:ascii="Source Sans Pro" w:hAnsi="Source Sans Pro"/>
          <w:sz w:val="26"/>
        </w:rPr>
      </w:pPr>
      <w:r w:rsidRPr="00E676C1">
        <w:rPr>
          <w:rFonts w:ascii="Source Sans Pro" w:hAnsi="Source Sans Pro"/>
          <w:sz w:val="26"/>
        </w:rPr>
        <w:t xml:space="preserve">Is the college disaggregating program learning outcomes data, program retention and completion data, and other assessment measures by race, income, age, and gender to examine equity gaps? How is this data </w:t>
      </w:r>
      <w:r w:rsidRPr="00E676C1">
        <w:rPr>
          <w:rFonts w:ascii="Source Sans Pro" w:hAnsi="Source Sans Pro"/>
          <w:sz w:val="26"/>
        </w:rPr>
        <w:lastRenderedPageBreak/>
        <w:t>disseminated and discussed among college staff, with students, and with the outside community?</w:t>
      </w:r>
    </w:p>
    <w:p w14:paraId="710E7F90" w14:textId="77777777" w:rsidR="00E676C1" w:rsidRDefault="00E676C1" w:rsidP="001B7FC8">
      <w:pPr>
        <w:rPr>
          <w:rFonts w:ascii="Source Sans Pro" w:hAnsi="Source Sans Pro"/>
          <w:sz w:val="26"/>
        </w:rPr>
      </w:pPr>
    </w:p>
    <w:p w14:paraId="78180699" w14:textId="77777777" w:rsidR="00E676C1" w:rsidRDefault="00E676C1" w:rsidP="001B7FC8">
      <w:pPr>
        <w:rPr>
          <w:rFonts w:ascii="Source Sans Pro" w:hAnsi="Source Sans Pro"/>
          <w:sz w:val="26"/>
        </w:rPr>
      </w:pPr>
    </w:p>
    <w:p w14:paraId="689F8B88" w14:textId="3D90D3BE" w:rsidR="001B7FC8" w:rsidRPr="00E676C1" w:rsidRDefault="001B7FC8" w:rsidP="001B7FC8">
      <w:pPr>
        <w:rPr>
          <w:rFonts w:ascii="Source Sans Pro" w:hAnsi="Source Sans Pro"/>
          <w:b/>
          <w:sz w:val="26"/>
        </w:rPr>
      </w:pPr>
      <w:bookmarkStart w:id="0" w:name="_GoBack"/>
      <w:r w:rsidRPr="00E676C1">
        <w:rPr>
          <w:rFonts w:ascii="Source Sans Pro" w:hAnsi="Source Sans Pro"/>
          <w:b/>
          <w:sz w:val="26"/>
        </w:rPr>
        <w:t xml:space="preserve">ADDITIONAL </w:t>
      </w:r>
    </w:p>
    <w:bookmarkEnd w:id="0"/>
    <w:p w14:paraId="4BB8D31F" w14:textId="77777777" w:rsidR="001B7FC8" w:rsidRPr="00E676C1" w:rsidRDefault="001B7FC8" w:rsidP="001B7FC8">
      <w:pPr>
        <w:rPr>
          <w:rFonts w:ascii="Source Sans Pro" w:hAnsi="Source Sans Pro"/>
          <w:sz w:val="26"/>
        </w:rPr>
      </w:pPr>
    </w:p>
    <w:p w14:paraId="0C8829A0" w14:textId="77777777" w:rsidR="001B7FC8" w:rsidRPr="00E676C1" w:rsidRDefault="001B7FC8" w:rsidP="001B7FC8">
      <w:pPr>
        <w:rPr>
          <w:rFonts w:ascii="Source Sans Pro" w:hAnsi="Source Sans Pro" w:cs="Times New Roman"/>
          <w:sz w:val="26"/>
          <w:szCs w:val="24"/>
        </w:rPr>
      </w:pPr>
      <w:r w:rsidRPr="00E676C1">
        <w:rPr>
          <w:rFonts w:ascii="Source Sans Pro" w:hAnsi="Source Sans Pro"/>
          <w:sz w:val="26"/>
          <w:u w:val="single"/>
        </w:rPr>
        <w:t>Student Engagement</w:t>
      </w:r>
      <w:r w:rsidRPr="00E676C1">
        <w:rPr>
          <w:rFonts w:ascii="Source Sans Pro" w:hAnsi="Source Sans Pro"/>
          <w:sz w:val="26"/>
        </w:rPr>
        <w:t xml:space="preserve">:  </w:t>
      </w:r>
      <w:r w:rsidRPr="00E676C1">
        <w:rPr>
          <w:rFonts w:ascii="Source Sans Pro" w:hAnsi="Source Sans Pro" w:cs="Times New Roman"/>
          <w:sz w:val="26"/>
          <w:szCs w:val="24"/>
        </w:rPr>
        <w:t>In what ways are you continually engaging students in the planning and implementation of Guided Pathways on your campus?</w:t>
      </w:r>
    </w:p>
    <w:p w14:paraId="5EB19F0A" w14:textId="77777777" w:rsidR="001B7FC8" w:rsidRPr="00E676C1" w:rsidRDefault="001B7FC8" w:rsidP="001B7FC8">
      <w:pPr>
        <w:rPr>
          <w:rFonts w:ascii="Source Sans Pro" w:hAnsi="Source Sans Pro" w:cs="Times New Roman"/>
          <w:sz w:val="26"/>
          <w:szCs w:val="24"/>
        </w:rPr>
      </w:pPr>
    </w:p>
    <w:p w14:paraId="5F2F1A26" w14:textId="77777777" w:rsidR="001B7FC8" w:rsidRPr="00E676C1" w:rsidRDefault="001B7FC8" w:rsidP="001B7FC8">
      <w:pPr>
        <w:rPr>
          <w:rFonts w:ascii="Source Sans Pro" w:hAnsi="Source Sans Pro"/>
          <w:sz w:val="26"/>
          <w:u w:val="single"/>
        </w:rPr>
      </w:pPr>
      <w:r w:rsidRPr="00E676C1">
        <w:rPr>
          <w:rFonts w:ascii="Source Sans Pro" w:hAnsi="Source Sans Pro" w:cs="Times New Roman"/>
          <w:sz w:val="26"/>
          <w:szCs w:val="24"/>
          <w:u w:val="single"/>
        </w:rPr>
        <w:t>Course Alignment:</w:t>
      </w:r>
      <w:r w:rsidRPr="00E676C1">
        <w:rPr>
          <w:rFonts w:ascii="Source Sans Pro" w:hAnsi="Source Sans Pro" w:cs="Times New Roman"/>
          <w:sz w:val="26"/>
          <w:szCs w:val="24"/>
        </w:rPr>
        <w:t xml:space="preserve">  </w:t>
      </w:r>
      <w:r w:rsidRPr="00E676C1">
        <w:rPr>
          <w:rFonts w:ascii="Source Sans Pro" w:hAnsi="Source Sans Pro" w:cs="Times New Roman"/>
          <w:i/>
          <w:sz w:val="26"/>
          <w:szCs w:val="24"/>
        </w:rPr>
        <w:t>How is the college exploring alignment of course offerings with student education plans?</w:t>
      </w:r>
    </w:p>
    <w:p w14:paraId="2D0B03A4" w14:textId="77777777" w:rsidR="001B7FC8" w:rsidRPr="00E676C1" w:rsidRDefault="001B7FC8" w:rsidP="001B7FC8">
      <w:pPr>
        <w:rPr>
          <w:rFonts w:ascii="Source Sans Pro" w:eastAsiaTheme="minorEastAsia" w:hAnsi="Source Sans Pro" w:cs="Arial"/>
          <w:b/>
          <w:caps/>
          <w:sz w:val="26"/>
        </w:rPr>
      </w:pPr>
    </w:p>
    <w:p w14:paraId="1A976A45" w14:textId="77777777" w:rsidR="009C06E1" w:rsidRPr="00E676C1" w:rsidRDefault="009C06E1">
      <w:pPr>
        <w:rPr>
          <w:sz w:val="28"/>
        </w:rPr>
      </w:pPr>
    </w:p>
    <w:sectPr w:rsidR="009C06E1" w:rsidRPr="00E67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6AEA"/>
    <w:multiLevelType w:val="hybridMultilevel"/>
    <w:tmpl w:val="9E20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E58B8"/>
    <w:multiLevelType w:val="hybridMultilevel"/>
    <w:tmpl w:val="6FC8CB34"/>
    <w:lvl w:ilvl="0" w:tplc="1702F408">
      <w:start w:val="1"/>
      <w:numFmt w:val="lowerLetter"/>
      <w:pStyle w:val="Tableindent"/>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B67773"/>
    <w:multiLevelType w:val="hybridMultilevel"/>
    <w:tmpl w:val="8DFA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A5589"/>
    <w:multiLevelType w:val="hybridMultilevel"/>
    <w:tmpl w:val="012AF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C11277"/>
    <w:multiLevelType w:val="hybridMultilevel"/>
    <w:tmpl w:val="B4F2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0B0D86"/>
    <w:multiLevelType w:val="hybridMultilevel"/>
    <w:tmpl w:val="0EEA7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D02663"/>
    <w:multiLevelType w:val="multilevel"/>
    <w:tmpl w:val="E6667378"/>
    <w:lvl w:ilvl="0">
      <w:start w:val="1"/>
      <w:numFmt w:val="decimal"/>
      <w:pStyle w:val="Table"/>
      <w:lvlText w:val="%1."/>
      <w:lvlJc w:val="left"/>
      <w:pPr>
        <w:ind w:left="-720" w:hanging="360"/>
      </w:pPr>
      <w:rPr>
        <w:rFonts w:hint="default"/>
      </w:rPr>
    </w:lvl>
    <w:lvl w:ilvl="1">
      <w:start w:val="1"/>
      <w:numFmt w:val="lowerLetter"/>
      <w:lvlText w:val="%2."/>
      <w:lvlJc w:val="left"/>
      <w:pPr>
        <w:ind w:left="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C8"/>
    <w:rsid w:val="001B7FC8"/>
    <w:rsid w:val="009C06E1"/>
    <w:rsid w:val="00E6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D5F4"/>
  <w15:chartTrackingRefBased/>
  <w15:docId w15:val="{C8F1372B-994A-4DAB-A933-ADD94F4E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FC8"/>
    <w:pPr>
      <w:ind w:left="720"/>
      <w:contextualSpacing/>
    </w:pPr>
  </w:style>
  <w:style w:type="paragraph" w:customStyle="1" w:styleId="Table">
    <w:name w:val="Table #."/>
    <w:basedOn w:val="ListParagraph"/>
    <w:qFormat/>
    <w:rsid w:val="001B7FC8"/>
    <w:pPr>
      <w:numPr>
        <w:numId w:val="2"/>
      </w:numPr>
      <w:spacing w:after="120"/>
      <w:ind w:left="274" w:hanging="274"/>
    </w:pPr>
    <w:rPr>
      <w:rFonts w:ascii="Calibri" w:eastAsiaTheme="minorEastAsia" w:hAnsi="Calibri"/>
      <w:b/>
      <w:caps/>
      <w:sz w:val="24"/>
      <w:szCs w:val="24"/>
    </w:rPr>
  </w:style>
  <w:style w:type="paragraph" w:customStyle="1" w:styleId="Tableindent">
    <w:name w:val="Table indent"/>
    <w:basedOn w:val="ListParagraph"/>
    <w:qFormat/>
    <w:rsid w:val="001B7FC8"/>
    <w:pPr>
      <w:numPr>
        <w:numId w:val="3"/>
      </w:numPr>
    </w:pPr>
    <w:rPr>
      <w:rFonts w:ascii="Calibri" w:eastAsiaTheme="minorEastAsia"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23C27-C645-43BC-B0ED-D9B51F3C4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33BD-AAC7-44D5-A2AF-672AB751890E}">
  <ds:schemaRefs>
    <ds:schemaRef ds:uri="http://schemas.microsoft.com/sharepoint/v3/contenttype/forms"/>
  </ds:schemaRefs>
</ds:datastoreItem>
</file>

<file path=customXml/itemProps3.xml><?xml version="1.0" encoding="utf-8"?>
<ds:datastoreItem xmlns:ds="http://schemas.openxmlformats.org/officeDocument/2006/customXml" ds:itemID="{AE7FFD93-FDED-4CD2-916E-57D6C86C8588}">
  <ds:schemaRefs>
    <ds:schemaRef ds:uri="http://www.w3.org/XML/1998/namespace"/>
    <ds:schemaRef ds:uri="http://purl.org/dc/dcmitype/"/>
    <ds:schemaRef ds:uri="2bc55ecc-363e-43e9-bfac-4ba2e86f45e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b5bbb0b-6c89-44d7-be61-0adfe653f98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dcterms:created xsi:type="dcterms:W3CDTF">2020-12-08T23:06:00Z</dcterms:created>
  <dcterms:modified xsi:type="dcterms:W3CDTF">2020-12-08T23:10:00Z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