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1B51" w14:textId="77777777" w:rsidR="00DC08FA" w:rsidRDefault="00F126DE">
      <w:pPr>
        <w:rPr>
          <w:rFonts w:ascii="Calibri" w:eastAsia="Calibri" w:hAnsi="Calibri" w:cs="Calibri"/>
          <w:b/>
          <w:sz w:val="32"/>
          <w:szCs w:val="3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102EB47B" wp14:editId="673D0A4A">
            <wp:simplePos x="0" y="0"/>
            <wp:positionH relativeFrom="margin">
              <wp:posOffset>8334375</wp:posOffset>
            </wp:positionH>
            <wp:positionV relativeFrom="margin">
              <wp:align>top</wp:align>
            </wp:positionV>
            <wp:extent cx="803275" cy="34290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4D3D5" w14:textId="77777777" w:rsidR="00DC08FA" w:rsidRDefault="00DC08FA" w:rsidP="004B7836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4855"/>
        <w:gridCol w:w="6389"/>
        <w:gridCol w:w="3146"/>
      </w:tblGrid>
      <w:tr w:rsidR="00EB7E6F" w:rsidRPr="00231129" w14:paraId="6291FD68" w14:textId="13363D42" w:rsidTr="00D44975">
        <w:trPr>
          <w:trHeight w:val="197"/>
        </w:trPr>
        <w:tc>
          <w:tcPr>
            <w:tcW w:w="5000" w:type="pct"/>
            <w:gridSpan w:val="3"/>
            <w:vAlign w:val="center"/>
          </w:tcPr>
          <w:p w14:paraId="22D8C387" w14:textId="5D0D310C" w:rsidR="00EB7E6F" w:rsidRPr="004B7836" w:rsidRDefault="00EB7E6F" w:rsidP="004B783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8"/>
              </w:rPr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Create a </w:t>
            </w:r>
            <w:r w:rsidR="00CB5CBD">
              <w:rPr>
                <w:rFonts w:ascii="Calibri" w:eastAsia="Calibri" w:hAnsi="Calibri" w:cs="Calibri"/>
                <w:b/>
                <w:sz w:val="28"/>
              </w:rPr>
              <w:t>student-first course schedule</w:t>
            </w:r>
            <w:r w:rsidR="00F51BB9">
              <w:rPr>
                <w:rFonts w:ascii="Calibri" w:eastAsia="Calibri" w:hAnsi="Calibri" w:cs="Calibri"/>
                <w:b/>
                <w:sz w:val="28"/>
              </w:rPr>
              <w:t xml:space="preserve"> (and a campus culture that supports completion in 3 years)</w:t>
            </w:r>
          </w:p>
        </w:tc>
      </w:tr>
      <w:tr w:rsidR="00EB7E6F" w:rsidRPr="00231129" w14:paraId="160344C6" w14:textId="71987654" w:rsidTr="000026C8">
        <w:trPr>
          <w:trHeight w:val="802"/>
        </w:trPr>
        <w:tc>
          <w:tcPr>
            <w:tcW w:w="1687" w:type="pct"/>
            <w:shd w:val="clear" w:color="auto" w:fill="E2EFD9" w:themeFill="accent6" w:themeFillTint="33"/>
            <w:vAlign w:val="center"/>
          </w:tcPr>
          <w:p w14:paraId="32960A7D" w14:textId="495E6B81" w:rsidR="00EB7E6F" w:rsidRPr="004B7836" w:rsidRDefault="00EB7E6F" w:rsidP="004B783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Challenges</w:t>
            </w:r>
          </w:p>
        </w:tc>
        <w:tc>
          <w:tcPr>
            <w:tcW w:w="2220" w:type="pct"/>
            <w:shd w:val="clear" w:color="auto" w:fill="E2EFD9" w:themeFill="accent6" w:themeFillTint="33"/>
            <w:vAlign w:val="center"/>
          </w:tcPr>
          <w:p w14:paraId="411D2438" w14:textId="31EEE933" w:rsidR="00EB7E6F" w:rsidRPr="004B7836" w:rsidRDefault="00EB7E6F" w:rsidP="004B7836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Possible Solutions/Actions</w:t>
            </w:r>
          </w:p>
        </w:tc>
        <w:tc>
          <w:tcPr>
            <w:tcW w:w="1093" w:type="pct"/>
            <w:shd w:val="clear" w:color="auto" w:fill="E2EFD9" w:themeFill="accent6" w:themeFillTint="33"/>
            <w:vAlign w:val="center"/>
          </w:tcPr>
          <w:p w14:paraId="01005746" w14:textId="5C348B57" w:rsidR="00EB7E6F" w:rsidRDefault="00EB7E6F" w:rsidP="00EB7E6F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Lead on Next Steps</w:t>
            </w:r>
          </w:p>
        </w:tc>
      </w:tr>
      <w:tr w:rsidR="00EB7E6F" w:rsidRPr="00231129" w14:paraId="1204B906" w14:textId="566D02C9" w:rsidTr="000026C8">
        <w:trPr>
          <w:trHeight w:val="802"/>
        </w:trPr>
        <w:tc>
          <w:tcPr>
            <w:tcW w:w="1687" w:type="pct"/>
          </w:tcPr>
          <w:p w14:paraId="16721DE6" w14:textId="1DB23CFE" w:rsidR="00EB7E6F" w:rsidRPr="00CE116B" w:rsidRDefault="000026C8" w:rsidP="004B783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can we improve our</w:t>
            </w:r>
            <w:r w:rsidR="00196253">
              <w:rPr>
                <w:rFonts w:ascii="Calibri" w:eastAsia="Calibri" w:hAnsi="Calibri" w:cs="Calibri"/>
                <w:sz w:val="22"/>
                <w:szCs w:val="22"/>
              </w:rPr>
              <w:t xml:space="preserve"> understan</w:t>
            </w:r>
            <w:r w:rsidR="00CE116B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ing of</w:t>
            </w:r>
            <w:r w:rsidR="00CE116B">
              <w:rPr>
                <w:rFonts w:ascii="Calibri" w:eastAsia="Calibri" w:hAnsi="Calibri" w:cs="Calibri"/>
                <w:sz w:val="22"/>
                <w:szCs w:val="22"/>
              </w:rPr>
              <w:t xml:space="preserve"> the ways our current course schedule is </w:t>
            </w:r>
            <w:r w:rsidR="00CE116B">
              <w:rPr>
                <w:rFonts w:ascii="Calibri" w:eastAsia="Calibri" w:hAnsi="Calibri" w:cs="Calibri"/>
                <w:i/>
                <w:sz w:val="22"/>
                <w:szCs w:val="22"/>
              </w:rPr>
              <w:t>not</w:t>
            </w:r>
            <w:r w:rsidR="00CE116B">
              <w:rPr>
                <w:rFonts w:ascii="Calibri" w:eastAsia="Calibri" w:hAnsi="Calibri" w:cs="Calibri"/>
                <w:sz w:val="22"/>
                <w:szCs w:val="22"/>
              </w:rPr>
              <w:t xml:space="preserve"> a student-first course schedule?</w:t>
            </w:r>
          </w:p>
        </w:tc>
        <w:tc>
          <w:tcPr>
            <w:tcW w:w="2220" w:type="pct"/>
          </w:tcPr>
          <w:p w14:paraId="59D86DA8" w14:textId="42786AEC" w:rsidR="00D44975" w:rsidRDefault="00CE116B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Gather more information:  student surveys, focus groups, interviews with counselors, welcome center staff, retention specialists, peer mentors.</w:t>
            </w:r>
          </w:p>
          <w:p w14:paraId="5C609BC6" w14:textId="2517B9AF" w:rsidR="00CE116B" w:rsidRDefault="00CE116B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Are course conflicts still an issue, given that 40% of sections are online/asynchronous?</w:t>
            </w:r>
            <w:r w:rsidR="00DF43A4">
              <w:rPr>
                <w:rFonts w:ascii="Calibri" w:eastAsia="Calibri" w:hAnsi="Calibri" w:cs="Calibri"/>
              </w:rPr>
              <w:t xml:space="preserve"> Evaluate the impact of deviating from the District block schedule.</w:t>
            </w:r>
          </w:p>
          <w:p w14:paraId="19EC9491" w14:textId="4B49DC32" w:rsidR="00CE116B" w:rsidRDefault="00CE116B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Review other data (Program of Study, Course Availability,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>) to determine why students may feel like they cannot get the classes then need when they need them.  Can they complete in 3 years?</w:t>
            </w:r>
          </w:p>
          <w:p w14:paraId="7ED37A38" w14:textId="280937B9" w:rsidR="00CE116B" w:rsidRPr="00D62FE1" w:rsidRDefault="00CE116B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Reaching out to high schools and community members (students who have stopped out, in particular) to help inform this understanding would also help.</w:t>
            </w:r>
          </w:p>
        </w:tc>
        <w:tc>
          <w:tcPr>
            <w:tcW w:w="1093" w:type="pct"/>
          </w:tcPr>
          <w:p w14:paraId="64342D5C" w14:textId="77777777" w:rsidR="00EB7E6F" w:rsidRDefault="00DF43A4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PRIE, faculty (IPC?)</w:t>
            </w:r>
          </w:p>
          <w:p w14:paraId="58B69DB2" w14:textId="5C0905C1" w:rsidR="00DF43A4" w:rsidRDefault="00DF43A4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iDeans</w:t>
            </w:r>
            <w:proofErr w:type="spellEnd"/>
            <w:r>
              <w:rPr>
                <w:rFonts w:ascii="Calibri" w:eastAsia="Calibri" w:hAnsi="Calibri" w:cs="Calibri"/>
              </w:rPr>
              <w:t xml:space="preserve"> and PRIE</w:t>
            </w:r>
          </w:p>
          <w:p w14:paraId="6687CE5A" w14:textId="7F857147" w:rsidR="00DF43A4" w:rsidRDefault="00DF43A4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iDeans</w:t>
            </w:r>
            <w:proofErr w:type="spellEnd"/>
            <w:r>
              <w:rPr>
                <w:rFonts w:ascii="Calibri" w:eastAsia="Calibri" w:hAnsi="Calibri" w:cs="Calibri"/>
              </w:rPr>
              <w:t xml:space="preserve"> and PRIE</w:t>
            </w:r>
          </w:p>
          <w:p w14:paraId="2F10AF7D" w14:textId="408ED2A9" w:rsidR="00DF43A4" w:rsidRPr="00D62FE1" w:rsidRDefault="00DF43A4" w:rsidP="00912661">
            <w:pPr>
              <w:pStyle w:val="ListParagraph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Outreach, Office of HS Transitions, PRIE</w:t>
            </w:r>
          </w:p>
        </w:tc>
      </w:tr>
      <w:tr w:rsidR="00EB7E6F" w:rsidRPr="00231129" w14:paraId="511C8306" w14:textId="742680C5" w:rsidTr="000026C8">
        <w:trPr>
          <w:trHeight w:val="802"/>
        </w:trPr>
        <w:tc>
          <w:tcPr>
            <w:tcW w:w="1687" w:type="pct"/>
          </w:tcPr>
          <w:p w14:paraId="5A3AC643" w14:textId="4A1A65E6" w:rsidR="00EB7E6F" w:rsidRPr="00D62FE1" w:rsidRDefault="00CE116B" w:rsidP="00A94BA1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Building on the College for Working Adults model – can we expand</w:t>
            </w:r>
            <w:r w:rsidR="000026C8">
              <w:rPr>
                <w:rFonts w:ascii="Calibri" w:eastAsia="Calibri" w:hAnsi="Calibri" w:cs="Calibri"/>
                <w:sz w:val="22"/>
                <w:szCs w:val="22"/>
              </w:rPr>
              <w:t xml:space="preserve"> it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 “guarantee” that students could get more degrees and certificates in 3 years?</w:t>
            </w:r>
          </w:p>
        </w:tc>
        <w:tc>
          <w:tcPr>
            <w:tcW w:w="2220" w:type="pct"/>
          </w:tcPr>
          <w:p w14:paraId="45CC499A" w14:textId="06AAA1CB" w:rsidR="00CE116B" w:rsidRDefault="00CE116B" w:rsidP="00A94BA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Determine which degrees or certificates we should we add to CWA offerings?</w:t>
            </w:r>
          </w:p>
          <w:p w14:paraId="1BD4E331" w14:textId="6C5D6586" w:rsidR="00D44975" w:rsidRPr="00D62FE1" w:rsidRDefault="00CE116B" w:rsidP="00A94BA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CWA has lost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students,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how do we know if this is what students want – survey stopped out CWA students?  Others?</w:t>
            </w:r>
            <w:r>
              <w:rPr>
                <w:rFonts w:ascii="Calibri" w:eastAsia="Calibri" w:hAnsi="Calibri" w:cs="Calibri"/>
                <w:sz w:val="22"/>
                <w:szCs w:val="22"/>
              </w:rPr>
              <w:br/>
            </w:r>
          </w:p>
        </w:tc>
        <w:tc>
          <w:tcPr>
            <w:tcW w:w="1093" w:type="pct"/>
          </w:tcPr>
          <w:p w14:paraId="548B6252" w14:textId="77777777" w:rsidR="00EB7E6F" w:rsidRDefault="00DF43A4" w:rsidP="00A94BA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Dean Carranza,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iDeans</w:t>
            </w:r>
            <w:proofErr w:type="spellEnd"/>
          </w:p>
          <w:p w14:paraId="0426FCC8" w14:textId="42DBB035" w:rsidR="00DF43A4" w:rsidRPr="00D62FE1" w:rsidRDefault="00DF43A4" w:rsidP="00A94BA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Dean Carranza,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iDeans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, PRIE?</w:t>
            </w:r>
          </w:p>
        </w:tc>
      </w:tr>
      <w:tr w:rsidR="00DF43A4" w:rsidRPr="00231129" w14:paraId="5C41153A" w14:textId="77777777" w:rsidTr="000026C8">
        <w:trPr>
          <w:trHeight w:val="802"/>
        </w:trPr>
        <w:tc>
          <w:tcPr>
            <w:tcW w:w="1687" w:type="pct"/>
          </w:tcPr>
          <w:p w14:paraId="3082E837" w14:textId="77777777" w:rsidR="00DF43A4" w:rsidRDefault="00DF43A4" w:rsidP="004B783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How can we best leverage information about what students want (based on their Program of Study and Ed. Goal) to build the course schedule?</w:t>
            </w:r>
          </w:p>
          <w:p w14:paraId="6DED5C34" w14:textId="4A7974CE" w:rsidR="00DF43A4" w:rsidRDefault="00DF43A4" w:rsidP="004B783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220" w:type="pct"/>
          </w:tcPr>
          <w:p w14:paraId="0A265124" w14:textId="77777777" w:rsidR="00DF43A4" w:rsidRPr="000026C8" w:rsidRDefault="00DF43A4" w:rsidP="00C04F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Using a combination of Program Maps, students’ academic course-taking history as well as their education goal, we could better forecast their needs for certain courses.</w:t>
            </w:r>
          </w:p>
          <w:p w14:paraId="45F719DF" w14:textId="7310FE3A" w:rsidR="000026C8" w:rsidRPr="00D62FE1" w:rsidRDefault="000026C8" w:rsidP="00C04F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Use Student Ed. Plan data</w:t>
            </w:r>
          </w:p>
        </w:tc>
        <w:tc>
          <w:tcPr>
            <w:tcW w:w="1093" w:type="pct"/>
          </w:tcPr>
          <w:p w14:paraId="33A857E7" w14:textId="519794C9" w:rsidR="00DF43A4" w:rsidRPr="00D44975" w:rsidRDefault="00DF43A4" w:rsidP="00D44975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iDeans</w:t>
            </w:r>
            <w:proofErr w:type="spellEnd"/>
            <w:r>
              <w:rPr>
                <w:rFonts w:ascii="Calibri" w:eastAsia="Calibri" w:hAnsi="Calibri" w:cs="Calibri"/>
              </w:rPr>
              <w:t>, PRIE</w:t>
            </w:r>
          </w:p>
        </w:tc>
      </w:tr>
      <w:tr w:rsidR="00CE116B" w:rsidRPr="00231129" w14:paraId="62F964C5" w14:textId="77777777" w:rsidTr="000026C8">
        <w:trPr>
          <w:trHeight w:val="802"/>
        </w:trPr>
        <w:tc>
          <w:tcPr>
            <w:tcW w:w="1687" w:type="pct"/>
          </w:tcPr>
          <w:p w14:paraId="2FAACE1A" w14:textId="19BA73CA" w:rsidR="00CE116B" w:rsidRDefault="00CE116B" w:rsidP="004B783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How can we operationalize EMP Strategic Initiative </w:t>
            </w:r>
            <w:r w:rsidRPr="00CE116B">
              <w:rPr>
                <w:rFonts w:ascii="Calibri" w:eastAsia="Calibri" w:hAnsi="Calibri" w:cs="Calibri"/>
                <w:sz w:val="22"/>
                <w:szCs w:val="22"/>
              </w:rPr>
              <w:t>4.12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 w:rsidRPr="00CE116B">
              <w:rPr>
                <w:rFonts w:ascii="Calibri" w:eastAsia="Calibri" w:hAnsi="Calibri" w:cs="Calibri"/>
                <w:sz w:val="22"/>
                <w:szCs w:val="22"/>
              </w:rPr>
              <w:t xml:space="preserve">Offer key courses (e.g., popular, commonly needed General Education courses) in multiple instructional </w:t>
            </w:r>
            <w:proofErr w:type="gramStart"/>
            <w:r w:rsidRPr="00CE116B">
              <w:rPr>
                <w:rFonts w:ascii="Calibri" w:eastAsia="Calibri" w:hAnsi="Calibri" w:cs="Calibri"/>
                <w:sz w:val="22"/>
                <w:szCs w:val="22"/>
              </w:rPr>
              <w:t>modalities.</w:t>
            </w:r>
            <w:proofErr w:type="gramEnd"/>
          </w:p>
        </w:tc>
        <w:tc>
          <w:tcPr>
            <w:tcW w:w="2220" w:type="pct"/>
          </w:tcPr>
          <w:p w14:paraId="56C26E75" w14:textId="77777777" w:rsidR="00CE116B" w:rsidRPr="003D63B7" w:rsidRDefault="003D63B7" w:rsidP="00C04F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Review course sections by Core Required/GE/Selective status as well as enrollments over time by modality.</w:t>
            </w:r>
          </w:p>
          <w:p w14:paraId="46B17EF5" w14:textId="11B551D2" w:rsidR="003D63B7" w:rsidRPr="00D62FE1" w:rsidRDefault="003D63B7" w:rsidP="00C04F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Consider this data when creating the course schedule</w:t>
            </w:r>
          </w:p>
        </w:tc>
        <w:tc>
          <w:tcPr>
            <w:tcW w:w="1093" w:type="pct"/>
          </w:tcPr>
          <w:p w14:paraId="226049BC" w14:textId="058515BF" w:rsidR="00CE116B" w:rsidRPr="00D44975" w:rsidRDefault="003D63B7" w:rsidP="00D44975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iDeans</w:t>
            </w:r>
            <w:bookmarkStart w:id="1" w:name="_GoBack"/>
            <w:bookmarkEnd w:id="1"/>
          </w:p>
        </w:tc>
      </w:tr>
      <w:tr w:rsidR="00EB7E6F" w:rsidRPr="00231129" w14:paraId="637643CB" w14:textId="47521202" w:rsidTr="000026C8">
        <w:trPr>
          <w:trHeight w:val="802"/>
        </w:trPr>
        <w:tc>
          <w:tcPr>
            <w:tcW w:w="1687" w:type="pct"/>
          </w:tcPr>
          <w:p w14:paraId="2FB4C682" w14:textId="4E59BE4B" w:rsidR="00EB7E6F" w:rsidRPr="00D62FE1" w:rsidRDefault="00CE116B" w:rsidP="004B7836">
            <w:pPr>
              <w:pStyle w:val="NormalWeb"/>
              <w:spacing w:before="0" w:beforeAutospacing="0" w:after="0" w:afterAutospacing="0"/>
              <w:textAlignment w:val="baseline"/>
              <w:rPr>
                <w:rFonts w:ascii="Calibri" w:eastAsia="Calibri" w:hAnsi="Calibri" w:cs="Calibri"/>
                <w:sz w:val="22"/>
                <w:szCs w:val="22"/>
              </w:rPr>
            </w:pPr>
            <w:bookmarkStart w:id="2" w:name="_heading=h.30j0zll" w:colFirst="0" w:colLast="0"/>
            <w:bookmarkEnd w:id="2"/>
            <w:r>
              <w:rPr>
                <w:rFonts w:ascii="Calibri" w:eastAsia="Calibri" w:hAnsi="Calibri" w:cs="Calibri"/>
                <w:sz w:val="22"/>
                <w:szCs w:val="22"/>
              </w:rPr>
              <w:t>As we join the California Virtual Campus, how can we determine which programs to offer 100% online?</w:t>
            </w:r>
          </w:p>
        </w:tc>
        <w:tc>
          <w:tcPr>
            <w:tcW w:w="2220" w:type="pct"/>
          </w:tcPr>
          <w:p w14:paraId="3AE406AA" w14:textId="77777777" w:rsidR="00C04FC9" w:rsidRPr="00DF43A4" w:rsidRDefault="00DF43A4" w:rsidP="00C04F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Consider quality as well as quantity</w:t>
            </w:r>
          </w:p>
          <w:p w14:paraId="126352D3" w14:textId="77777777" w:rsidR="00DF43A4" w:rsidRPr="00DF43A4" w:rsidRDefault="00DF43A4" w:rsidP="00C04F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Determine criteria for choosing and offering certain course and programs on CVC</w:t>
            </w:r>
          </w:p>
          <w:p w14:paraId="453027DE" w14:textId="5C1E26A5" w:rsidR="00DF43A4" w:rsidRPr="00D62FE1" w:rsidRDefault="00DF43A4" w:rsidP="00C04FC9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Utilize the POCR process more broadly</w:t>
            </w:r>
          </w:p>
        </w:tc>
        <w:tc>
          <w:tcPr>
            <w:tcW w:w="1093" w:type="pct"/>
          </w:tcPr>
          <w:p w14:paraId="7524389B" w14:textId="77777777" w:rsidR="00EB7E6F" w:rsidRDefault="00DF43A4" w:rsidP="00D44975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DEAC</w:t>
            </w:r>
          </w:p>
          <w:p w14:paraId="097A9F46" w14:textId="592070CC" w:rsidR="00DF43A4" w:rsidRDefault="00DF43A4" w:rsidP="00D44975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DEAC, </w:t>
            </w:r>
            <w:proofErr w:type="spellStart"/>
            <w:r>
              <w:rPr>
                <w:rFonts w:ascii="Calibri" w:eastAsia="Calibri" w:hAnsi="Calibri" w:cs="Calibri"/>
              </w:rPr>
              <w:t>iDeans</w:t>
            </w:r>
            <w:proofErr w:type="spellEnd"/>
          </w:p>
          <w:p w14:paraId="3289A374" w14:textId="62256392" w:rsidR="00DF43A4" w:rsidRPr="00D44975" w:rsidRDefault="00DF43A4" w:rsidP="00D44975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DEAC</w:t>
            </w:r>
          </w:p>
        </w:tc>
      </w:tr>
      <w:tr w:rsidR="00EB7E6F" w:rsidRPr="00231129" w14:paraId="3DDDB9B7" w14:textId="79CEB4C8" w:rsidTr="000026C8">
        <w:trPr>
          <w:trHeight w:val="802"/>
        </w:trPr>
        <w:tc>
          <w:tcPr>
            <w:tcW w:w="1687" w:type="pct"/>
            <w:shd w:val="clear" w:color="auto" w:fill="E7E6E6" w:themeFill="background2"/>
          </w:tcPr>
          <w:p w14:paraId="19D7A8B5" w14:textId="0A3679A6" w:rsidR="00EB7E6F" w:rsidRPr="00D62FE1" w:rsidRDefault="00EB7E6F" w:rsidP="004B7836">
            <w:pPr>
              <w:rPr>
                <w:rFonts w:ascii="Calibri" w:eastAsia="Calibri" w:hAnsi="Calibri" w:cs="Calibri"/>
              </w:rPr>
            </w:pPr>
            <w:r w:rsidRPr="00D62FE1">
              <w:rPr>
                <w:rFonts w:ascii="Calibri" w:eastAsia="Calibri" w:hAnsi="Calibri" w:cs="Calibri"/>
              </w:rPr>
              <w:lastRenderedPageBreak/>
              <w:t>What other information is needed for us to understand this challenge?</w:t>
            </w:r>
          </w:p>
        </w:tc>
        <w:tc>
          <w:tcPr>
            <w:tcW w:w="2220" w:type="pct"/>
            <w:shd w:val="clear" w:color="auto" w:fill="E7E6E6" w:themeFill="background2"/>
          </w:tcPr>
          <w:p w14:paraId="016FECD8" w14:textId="23C33D4D" w:rsidR="00C04FC9" w:rsidRPr="00D62FE1" w:rsidRDefault="000026C8" w:rsidP="00F51BB9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students need/why they feel they cannot get the courses they need when they need them</w:t>
            </w:r>
          </w:p>
        </w:tc>
        <w:tc>
          <w:tcPr>
            <w:tcW w:w="1093" w:type="pct"/>
            <w:shd w:val="clear" w:color="auto" w:fill="E7E6E6" w:themeFill="background2"/>
          </w:tcPr>
          <w:p w14:paraId="09FA62B5" w14:textId="4EFA8B23" w:rsidR="00C04FC9" w:rsidRPr="00D62FE1" w:rsidRDefault="00C04FC9" w:rsidP="00A557AB">
            <w:pPr>
              <w:pStyle w:val="ListParagraph"/>
              <w:ind w:left="360"/>
              <w:rPr>
                <w:rFonts w:ascii="Calibri" w:eastAsia="Calibri" w:hAnsi="Calibri" w:cs="Calibri"/>
              </w:rPr>
            </w:pPr>
          </w:p>
        </w:tc>
      </w:tr>
      <w:tr w:rsidR="00EB7E6F" w:rsidRPr="00231129" w14:paraId="721886CA" w14:textId="6977C59A" w:rsidTr="000026C8">
        <w:trPr>
          <w:trHeight w:val="802"/>
        </w:trPr>
        <w:tc>
          <w:tcPr>
            <w:tcW w:w="1687" w:type="pct"/>
            <w:shd w:val="clear" w:color="auto" w:fill="E7E6E6" w:themeFill="background2"/>
          </w:tcPr>
          <w:p w14:paraId="7E2A7180" w14:textId="66E5864F" w:rsidR="00EB7E6F" w:rsidRPr="00D62FE1" w:rsidRDefault="00EB7E6F" w:rsidP="004B7836">
            <w:pPr>
              <w:rPr>
                <w:rFonts w:ascii="Calibri" w:eastAsia="Calibri" w:hAnsi="Calibri" w:cs="Calibri"/>
              </w:rPr>
            </w:pPr>
            <w:r w:rsidRPr="00D62FE1">
              <w:rPr>
                <w:rFonts w:ascii="Calibri" w:eastAsia="Calibri" w:hAnsi="Calibri" w:cs="Calibri"/>
              </w:rPr>
              <w:t>How will we measure success or know if we’ve solved this challenge(s)?</w:t>
            </w:r>
          </w:p>
        </w:tc>
        <w:tc>
          <w:tcPr>
            <w:tcW w:w="2220" w:type="pct"/>
            <w:shd w:val="clear" w:color="auto" w:fill="E7E6E6" w:themeFill="background2"/>
          </w:tcPr>
          <w:p w14:paraId="68B4BAFC" w14:textId="77777777" w:rsidR="00D62FE1" w:rsidRDefault="000026C8" w:rsidP="00D62FE1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Enrollment increases</w:t>
            </w:r>
          </w:p>
          <w:p w14:paraId="3D5146DE" w14:textId="24081F16" w:rsidR="000026C8" w:rsidRPr="00D62FE1" w:rsidRDefault="000026C8" w:rsidP="00D62FE1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Completion rate improvements</w:t>
            </w:r>
          </w:p>
        </w:tc>
        <w:tc>
          <w:tcPr>
            <w:tcW w:w="1093" w:type="pct"/>
            <w:shd w:val="clear" w:color="auto" w:fill="E7E6E6" w:themeFill="background2"/>
          </w:tcPr>
          <w:p w14:paraId="32E4914B" w14:textId="32207D8B" w:rsidR="00EB7E6F" w:rsidRPr="00D44975" w:rsidRDefault="00EB7E6F" w:rsidP="00A557AB">
            <w:pPr>
              <w:pStyle w:val="ListParagraph"/>
              <w:ind w:left="360"/>
              <w:rPr>
                <w:rFonts w:ascii="Calibri" w:eastAsia="Calibri" w:hAnsi="Calibri" w:cs="Calibri"/>
              </w:rPr>
            </w:pPr>
          </w:p>
        </w:tc>
      </w:tr>
    </w:tbl>
    <w:p w14:paraId="31F7F2E9" w14:textId="77777777" w:rsidR="00DC08FA" w:rsidRDefault="00DC08FA" w:rsidP="00D44975"/>
    <w:sectPr w:rsidR="00DC08FA" w:rsidSect="00D44975">
      <w:footerReference w:type="default" r:id="rId12"/>
      <w:pgSz w:w="15840" w:h="12240" w:orient="landscape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6C7E6" w14:textId="77777777" w:rsidR="004B7836" w:rsidRDefault="004B7836" w:rsidP="004B7836">
      <w:r>
        <w:separator/>
      </w:r>
    </w:p>
  </w:endnote>
  <w:endnote w:type="continuationSeparator" w:id="0">
    <w:p w14:paraId="53B82CAB" w14:textId="77777777" w:rsidR="004B7836" w:rsidRDefault="004B7836" w:rsidP="004B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055615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</w:rPr>
    </w:sdtEndPr>
    <w:sdtContent>
      <w:p w14:paraId="3B7F9AFF" w14:textId="64CDDE65" w:rsidR="004B7836" w:rsidRPr="004B7836" w:rsidRDefault="004B7836">
        <w:pPr>
          <w:pStyle w:val="Footer"/>
          <w:jc w:val="right"/>
          <w:rPr>
            <w:rFonts w:asciiTheme="minorHAnsi" w:hAnsiTheme="minorHAnsi" w:cstheme="minorHAnsi"/>
            <w:sz w:val="20"/>
          </w:rPr>
        </w:pPr>
        <w:r w:rsidRPr="004B7836">
          <w:rPr>
            <w:rFonts w:asciiTheme="minorHAnsi" w:hAnsiTheme="minorHAnsi" w:cstheme="minorHAnsi"/>
            <w:sz w:val="20"/>
          </w:rPr>
          <w:fldChar w:fldCharType="begin"/>
        </w:r>
        <w:r w:rsidRPr="004B7836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4B7836">
          <w:rPr>
            <w:rFonts w:asciiTheme="minorHAnsi" w:hAnsiTheme="minorHAnsi" w:cstheme="minorHAnsi"/>
            <w:sz w:val="20"/>
          </w:rPr>
          <w:fldChar w:fldCharType="separate"/>
        </w:r>
        <w:r w:rsidRPr="004B7836">
          <w:rPr>
            <w:rFonts w:asciiTheme="minorHAnsi" w:hAnsiTheme="minorHAnsi" w:cstheme="minorHAnsi"/>
            <w:noProof/>
            <w:sz w:val="20"/>
          </w:rPr>
          <w:t>2</w:t>
        </w:r>
        <w:r w:rsidRPr="004B7836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14:paraId="660BE8EB" w14:textId="77777777" w:rsidR="004B7836" w:rsidRPr="004B7836" w:rsidRDefault="004B7836" w:rsidP="004B7836">
    <w:pPr>
      <w:pStyle w:val="Footer"/>
      <w:rPr>
        <w:rFonts w:asciiTheme="minorHAnsi" w:hAnsiTheme="minorHAnsi" w:cstheme="minorHAnsi"/>
        <w:sz w:val="18"/>
      </w:rPr>
    </w:pPr>
    <w:r w:rsidRPr="004B7836">
      <w:rPr>
        <w:rFonts w:asciiTheme="minorHAnsi" w:hAnsiTheme="minorHAnsi" w:cstheme="minorHAnsi"/>
        <w:sz w:val="18"/>
      </w:rPr>
      <w:t>Cañada College Leadership Retreat Breakout Discussion Notes and Possible Next Steps Summary – draft as of August 24, 2022</w:t>
    </w:r>
  </w:p>
  <w:p w14:paraId="31564D48" w14:textId="77777777" w:rsidR="004B7836" w:rsidRDefault="004B78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1C2C8" w14:textId="77777777" w:rsidR="004B7836" w:rsidRDefault="004B7836" w:rsidP="004B7836">
      <w:r>
        <w:separator/>
      </w:r>
    </w:p>
  </w:footnote>
  <w:footnote w:type="continuationSeparator" w:id="0">
    <w:p w14:paraId="0C0CDABD" w14:textId="77777777" w:rsidR="004B7836" w:rsidRDefault="004B7836" w:rsidP="004B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C101B"/>
    <w:multiLevelType w:val="multilevel"/>
    <w:tmpl w:val="F7844F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6A2A75"/>
    <w:multiLevelType w:val="multilevel"/>
    <w:tmpl w:val="E6A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74D49"/>
    <w:multiLevelType w:val="multilevel"/>
    <w:tmpl w:val="559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556CDF"/>
    <w:multiLevelType w:val="hybridMultilevel"/>
    <w:tmpl w:val="F394F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E5071B"/>
    <w:multiLevelType w:val="multilevel"/>
    <w:tmpl w:val="88EAED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9726B6"/>
    <w:multiLevelType w:val="multilevel"/>
    <w:tmpl w:val="AAC28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0820E9"/>
    <w:multiLevelType w:val="hybridMultilevel"/>
    <w:tmpl w:val="43543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562537"/>
    <w:multiLevelType w:val="multilevel"/>
    <w:tmpl w:val="B7A2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2A58BE"/>
    <w:multiLevelType w:val="multilevel"/>
    <w:tmpl w:val="7E3E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945D6"/>
    <w:multiLevelType w:val="hybridMultilevel"/>
    <w:tmpl w:val="6DA247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0E5AEF"/>
    <w:multiLevelType w:val="hybridMultilevel"/>
    <w:tmpl w:val="BCE05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0"/>
  </w:num>
  <w:num w:numId="6">
    <w:abstractNumId w:val="1"/>
  </w:num>
  <w:num w:numId="7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1800"/>
          </w:tabs>
          <w:ind w:left="180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520"/>
          </w:tabs>
          <w:ind w:left="252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240"/>
          </w:tabs>
          <w:ind w:left="324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3960"/>
          </w:tabs>
          <w:ind w:left="396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4680"/>
          </w:tabs>
          <w:ind w:left="468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400"/>
          </w:tabs>
          <w:ind w:left="540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120"/>
          </w:tabs>
          <w:ind w:left="612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8FA"/>
    <w:rsid w:val="000026C8"/>
    <w:rsid w:val="00196253"/>
    <w:rsid w:val="00231129"/>
    <w:rsid w:val="002F50B0"/>
    <w:rsid w:val="003D63B7"/>
    <w:rsid w:val="004B7836"/>
    <w:rsid w:val="005A6CC4"/>
    <w:rsid w:val="00707251"/>
    <w:rsid w:val="007A6D37"/>
    <w:rsid w:val="00912661"/>
    <w:rsid w:val="009C0E52"/>
    <w:rsid w:val="009F1D5D"/>
    <w:rsid w:val="00A557AB"/>
    <w:rsid w:val="00A94BA1"/>
    <w:rsid w:val="00C04FC9"/>
    <w:rsid w:val="00CB5CBD"/>
    <w:rsid w:val="00CE116B"/>
    <w:rsid w:val="00D44975"/>
    <w:rsid w:val="00D62FE1"/>
    <w:rsid w:val="00DC08FA"/>
    <w:rsid w:val="00DF43A4"/>
    <w:rsid w:val="00EB7E6F"/>
    <w:rsid w:val="00F126DE"/>
    <w:rsid w:val="00F5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6AD352"/>
  <w15:docId w15:val="{0B798A19-8324-4A6C-88BC-216ED8F24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5B68"/>
    <w:pPr>
      <w:autoSpaceDE w:val="0"/>
      <w:autoSpaceDN w:val="0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dTable4">
    <w:name w:val="Grid Table 4"/>
    <w:basedOn w:val="TableNormal"/>
    <w:uiPriority w:val="49"/>
    <w:rsid w:val="00795B6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6">
    <w:name w:val="Grid Table 4 Accent 6"/>
    <w:basedOn w:val="TableNormal"/>
    <w:uiPriority w:val="49"/>
    <w:rsid w:val="009807B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980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220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2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20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eGridLight">
    <w:name w:val="Grid Table Light"/>
    <w:basedOn w:val="TableNormal"/>
    <w:uiPriority w:val="40"/>
    <w:rsid w:val="002311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4B783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B78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836"/>
  </w:style>
  <w:style w:type="paragraph" w:styleId="Footer">
    <w:name w:val="footer"/>
    <w:basedOn w:val="Normal"/>
    <w:link w:val="FooterChar"/>
    <w:uiPriority w:val="99"/>
    <w:unhideWhenUsed/>
    <w:rsid w:val="004B78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zMA/1ij9GknruQfM9hsL3blkTw==">AMUW2mW6GKrtgLljewaJid3AUd/aVE81Yaes30RiX/VFAnt8yjzAWEWL8hPe537oCeVrAxb2TPH9UijA4mxDMIMmlJVG2FDE/0Zqm3O77KsTFbQosbD0Ed0Ph7ebv4RfXu58zo79svDf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51A415522C74CB2195B1A777E9A7C" ma:contentTypeVersion="13" ma:contentTypeDescription="Create a new document." ma:contentTypeScope="" ma:versionID="618bc19bae1ae606cfd6804c8e2176d6">
  <xsd:schema xmlns:xsd="http://www.w3.org/2001/XMLSchema" xmlns:xs="http://www.w3.org/2001/XMLSchema" xmlns:p="http://schemas.microsoft.com/office/2006/metadata/properties" xmlns:ns3="2bc55ecc-363e-43e9-bfac-4ba2e86f45ee" xmlns:ns4="bb5bbb0b-6c89-44d7-be61-0adfe653f983" targetNamespace="http://schemas.microsoft.com/office/2006/metadata/properties" ma:root="true" ma:fieldsID="e0599e1f8396ab867dd6a01ab5d3ef8a" ns3:_="" ns4:_="">
    <xsd:import namespace="2bc55ecc-363e-43e9-bfac-4ba2e86f45ee"/>
    <xsd:import namespace="bb5bbb0b-6c89-44d7-be61-0adfe653f9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ecc-363e-43e9-bfac-4ba2e86f45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bbb0b-6c89-44d7-be61-0adfe653f9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4E6ECB-1699-474F-9476-54F6665CDA72}">
  <ds:schemaRefs>
    <ds:schemaRef ds:uri="http://schemas.microsoft.com/office/2006/documentManagement/types"/>
    <ds:schemaRef ds:uri="bb5bbb0b-6c89-44d7-be61-0adfe653f983"/>
    <ds:schemaRef ds:uri="http://www.w3.org/XML/1998/namespace"/>
    <ds:schemaRef ds:uri="http://purl.org/dc/dcmitype/"/>
    <ds:schemaRef ds:uri="http://purl.org/dc/elements/1.1/"/>
    <ds:schemaRef ds:uri="2bc55ecc-363e-43e9-bfac-4ba2e86f45e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9ED7DC38-51A7-4ADD-8E82-DAE8ADB06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ecc-363e-43e9-bfac-4ba2e86f45ee"/>
    <ds:schemaRef ds:uri="bb5bbb0b-6c89-44d7-be61-0adfe653f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4919FA-8B9E-4D8C-B5A6-37EE5B9B2C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Mateo County Community College District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Engel, Karen</dc:creator>
  <cp:lastModifiedBy>Engel, Karen</cp:lastModifiedBy>
  <cp:revision>4</cp:revision>
  <dcterms:created xsi:type="dcterms:W3CDTF">2022-09-02T19:10:00Z</dcterms:created>
  <dcterms:modified xsi:type="dcterms:W3CDTF">2022-09-02T19:14:00Z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0x01010029551A415522C74CB2195B1A777E9A7C</vt:lpwstr>
  </property>
</Properties>
</file>