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Chemistry</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Comprehensive Program Review Questionnaire Data</w:t>
      </w:r>
    </w:p>
    <w:p w:rsidR="00000000" w:rsidDel="00000000" w:rsidP="00000000" w:rsidRDefault="00000000" w:rsidRPr="00000000" w14:paraId="00000003">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7A. Enrollment Trends</w:t>
      </w: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rPr>
      </w:pPr>
      <w:bookmarkStart w:colFirst="0" w:colLast="0" w:name="_heading=h.gjdgxs" w:id="0"/>
      <w:bookmarkEnd w:id="0"/>
      <w:r w:rsidDel="00000000" w:rsidR="00000000" w:rsidRPr="00000000">
        <w:rPr>
          <w:rFonts w:ascii="Arial" w:cs="Arial" w:eastAsia="Arial" w:hAnsi="Arial"/>
          <w:b w:val="1"/>
          <w:color w:val="000000"/>
          <w:rtl w:val="0"/>
        </w:rPr>
        <w:t xml:space="preserve">Use the data provided by PRIE to examine your enrollments by department or courses. Describe trends in headcount, FTES, and load. If applicable, describe any other enrollment data that is relevant to your program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0" distT="0" distL="0" distR="0">
            <wp:extent cx="3930206" cy="2995103"/>
            <wp:effectExtent b="0" l="0" r="0" t="0"/>
            <wp:docPr descr="A graph with orange and blue lines&#10;&#10;Description automatically generated" id="1663024855" name="image3.png"/>
            <a:graphic>
              <a:graphicData uri="http://schemas.openxmlformats.org/drawingml/2006/picture">
                <pic:pic>
                  <pic:nvPicPr>
                    <pic:cNvPr descr="A graph with orange and blue lines&#10;&#10;Description automatically generated" id="0" name="image3.png"/>
                    <pic:cNvPicPr preferRelativeResize="0"/>
                  </pic:nvPicPr>
                  <pic:blipFill>
                    <a:blip r:embed="rId8"/>
                    <a:srcRect b="0" l="0" r="0" t="0"/>
                    <a:stretch>
                      <a:fillRect/>
                    </a:stretch>
                  </pic:blipFill>
                  <pic:spPr>
                    <a:xfrm>
                      <a:off x="0" y="0"/>
                      <a:ext cx="3930206" cy="299510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Between 2019-2020 and 2020-2021 overall enrollment increased from 619 to 772 for Chemistry. After 2020-2021, enrollment slowly declined until it reached 610 in 2023-2024. Headcount followed much the same trend.</w:t>
      </w:r>
    </w:p>
    <w:p w:rsidR="00000000" w:rsidDel="00000000" w:rsidP="00000000" w:rsidRDefault="00000000" w:rsidRPr="00000000" w14:paraId="00000008">
      <w:pPr>
        <w:rPr/>
      </w:pPr>
      <w:r w:rsidDel="00000000" w:rsidR="00000000" w:rsidRPr="00000000">
        <w:rPr/>
        <w:drawing>
          <wp:inline distB="0" distT="0" distL="0" distR="0">
            <wp:extent cx="4146631" cy="3238447"/>
            <wp:effectExtent b="0" l="0" r="0" t="0"/>
            <wp:docPr descr="A graph with a line and numbers&#10;&#10;Description automatically generated" id="1663024857" name="image1.png"/>
            <a:graphic>
              <a:graphicData uri="http://schemas.openxmlformats.org/drawingml/2006/picture">
                <pic:pic>
                  <pic:nvPicPr>
                    <pic:cNvPr descr="A graph with a line and numbers&#10;&#10;Description automatically generated" id="0" name="image1.png"/>
                    <pic:cNvPicPr preferRelativeResize="0"/>
                  </pic:nvPicPr>
                  <pic:blipFill>
                    <a:blip r:embed="rId9"/>
                    <a:srcRect b="0" l="0" r="0" t="0"/>
                    <a:stretch>
                      <a:fillRect/>
                    </a:stretch>
                  </pic:blipFill>
                  <pic:spPr>
                    <a:xfrm>
                      <a:off x="0" y="0"/>
                      <a:ext cx="4146631" cy="3238447"/>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Section count has remained relatively flat, only fluctuating 23-26 year to year with no particular pattern.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drawing>
          <wp:inline distB="0" distT="0" distL="0" distR="0">
            <wp:extent cx="4258850" cy="3123157"/>
            <wp:effectExtent b="0" l="0" r="0" t="0"/>
            <wp:docPr descr="A graph with numbers and a line&#10;&#10;Description automatically generated" id="1663024856" name="image6.png"/>
            <a:graphic>
              <a:graphicData uri="http://schemas.openxmlformats.org/drawingml/2006/picture">
                <pic:pic>
                  <pic:nvPicPr>
                    <pic:cNvPr descr="A graph with numbers and a line&#10;&#10;Description automatically generated" id="0" name="image6.png"/>
                    <pic:cNvPicPr preferRelativeResize="0"/>
                  </pic:nvPicPr>
                  <pic:blipFill>
                    <a:blip r:embed="rId10"/>
                    <a:srcRect b="0" l="0" r="0" t="0"/>
                    <a:stretch>
                      <a:fillRect/>
                    </a:stretch>
                  </pic:blipFill>
                  <pic:spPr>
                    <a:xfrm>
                      <a:off x="0" y="0"/>
                      <a:ext cx="4258850" cy="3123157"/>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FTEF increased from 10 to 11 between 2019-2020 and 2020-2021. It then remained flat with the exception of 2022-2023 where it briefly went up to 12. FTES increased from 170 to 211 between 2019-2020 and 2020-2021. It then declined to 160 by 2023-2024.</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114300" distT="114300" distL="114300" distR="114300">
            <wp:extent cx="4862513" cy="3605103"/>
            <wp:effectExtent b="0" l="0" r="0" t="0"/>
            <wp:docPr id="166302485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862513" cy="3605103"/>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Load for Chemistry increased from 508 - 591 between 2019-2020 and 2020-2021. It then slowly declined during the pandemic from that peak between the 2020-2021 and 2023-2024 academic years down to 428.</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8A. Access &amp; Completion</w:t>
      </w: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rsidR="00000000" w:rsidDel="00000000" w:rsidP="00000000" w:rsidRDefault="00000000" w:rsidRPr="00000000" w14:paraId="0000001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See the </w:t>
      </w:r>
      <w:r w:rsidDel="00000000" w:rsidR="00000000" w:rsidRPr="00000000">
        <w:rPr>
          <w:rFonts w:ascii="Arial" w:cs="Arial" w:eastAsia="Arial" w:hAnsi="Arial"/>
          <w:i w:val="1"/>
          <w:rtl w:val="0"/>
        </w:rPr>
        <w:t xml:space="preserve">Course Enrollment &amp; Success Detail Report </w:t>
      </w:r>
      <w:r w:rsidDel="00000000" w:rsidR="00000000" w:rsidRPr="00000000">
        <w:rPr>
          <w:rFonts w:ascii="Arial" w:cs="Arial" w:eastAsia="Arial" w:hAnsi="Arial"/>
          <w:rtl w:val="0"/>
        </w:rPr>
        <w:t xml:space="preserve">for additional course-level data. This report can be found on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PRIE’s </w:t>
      </w:r>
      <w:hyperlink r:id="rId12">
        <w:r w:rsidDel="00000000" w:rsidR="00000000" w:rsidRPr="00000000">
          <w:rPr>
            <w:rFonts w:ascii="Arial" w:cs="Arial" w:eastAsia="Arial" w:hAnsi="Arial"/>
            <w:color w:val="0000ff"/>
            <w:u w:val="single"/>
            <w:rtl w:val="0"/>
          </w:rPr>
          <w:t xml:space="preserve">Data Dashboards &amp; Packets</w:t>
        </w:r>
      </w:hyperlink>
      <w:r w:rsidDel="00000000" w:rsidR="00000000" w:rsidRPr="00000000">
        <w:rPr>
          <w:rFonts w:ascii="Arial" w:cs="Arial" w:eastAsia="Arial" w:hAnsi="Arial"/>
          <w:rtl w:val="0"/>
        </w:rPr>
        <w:t xml:space="preserve"> page under the program name.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0" distT="0" distL="0" distR="0">
            <wp:extent cx="4151117" cy="5302874"/>
            <wp:effectExtent b="0" l="0" r="0" t="0"/>
            <wp:docPr descr="A graph with blue and orange lines&#10;&#10;Description automatically generated" id="1663024858" name="image2.png"/>
            <a:graphic>
              <a:graphicData uri="http://schemas.openxmlformats.org/drawingml/2006/picture">
                <pic:pic>
                  <pic:nvPicPr>
                    <pic:cNvPr descr="A graph with blue and orange lines&#10;&#10;Description automatically generated" id="0" name="image2.png"/>
                    <pic:cNvPicPr preferRelativeResize="0"/>
                  </pic:nvPicPr>
                  <pic:blipFill>
                    <a:blip r:embed="rId13"/>
                    <a:srcRect b="0" l="0" r="0" t="0"/>
                    <a:stretch>
                      <a:fillRect/>
                    </a:stretch>
                  </pic:blipFill>
                  <pic:spPr>
                    <a:xfrm>
                      <a:off x="0" y="0"/>
                      <a:ext cx="4151117" cy="5302874"/>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Success rates were relatively flat hovering around 72-75% between 2019-2020 and 2021-2022. The rates then declined to 65% in 2022-2023. Afterwards it recovered to 70% in 2023-2024. Withdrawals were flat at 20% between 2019-2020 to 2022-2023 aside from a 1% decline in 2020-2021. They then dipped to 16% in 2023-2024.</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drawing>
          <wp:inline distB="0" distT="0" distL="0" distR="0">
            <wp:extent cx="5943600" cy="4314825"/>
            <wp:docPr id="1663024852"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Chem 192 had the largest withdraw rate of 25% while Chem 232 had the smallest withdraw rate of 2%. Chem 192 also had the smallest success rate of 58% while Chem 232 had the largest success rate of 95%.</w:t>
      </w:r>
    </w:p>
    <w:p w:rsidR="00000000" w:rsidDel="00000000" w:rsidP="00000000" w:rsidRDefault="00000000" w:rsidRPr="00000000" w14:paraId="0000001B">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8B. Student Equity</w:t>
      </w: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rsidR="00000000" w:rsidDel="00000000" w:rsidP="00000000" w:rsidRDefault="00000000" w:rsidRPr="00000000" w14:paraId="0000001D">
      <w:pPr>
        <w:spacing w:after="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E">
      <w:pPr>
        <w:spacing w:after="0" w:lineRule="auto"/>
        <w:rPr>
          <w:rFonts w:ascii="Arial" w:cs="Arial" w:eastAsia="Arial" w:hAnsi="Arial"/>
          <w:b w:val="1"/>
        </w:rPr>
      </w:pPr>
      <w:r w:rsidDel="00000000" w:rsidR="00000000" w:rsidRPr="00000000">
        <w:rPr>
          <w:rFonts w:ascii="Arial" w:cs="Arial" w:eastAsia="Arial" w:hAnsi="Arial"/>
          <w:b w:val="1"/>
          <w:rtl w:val="0"/>
        </w:rPr>
        <w:t xml:space="preserve">OVERALL EQUITY</w:t>
      </w:r>
    </w:p>
    <w:p w:rsidR="00000000" w:rsidDel="00000000" w:rsidP="00000000" w:rsidRDefault="00000000" w:rsidRPr="00000000" w14:paraId="0000001F">
      <w:pPr>
        <w:spacing w:after="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rPr>
          <w:rFonts w:ascii="Arial" w:cs="Arial" w:eastAsia="Arial" w:hAnsi="Arial"/>
          <w:color w:val="000000"/>
        </w:rPr>
      </w:pPr>
      <w:r w:rsidDel="00000000" w:rsidR="00000000" w:rsidRPr="00000000">
        <w:rPr>
          <w:rFonts w:ascii="Arial" w:cs="Arial" w:eastAsia="Arial" w:hAnsi="Arial"/>
          <w:rtl w:val="0"/>
        </w:rPr>
        <w:t xml:space="preserve">The Equity and Disproportionate Impact (DI) dashboard was used to identify subgroups that may have been disproportionately impacted in Chemistry in the most recent academic year (2022-2023)</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three metrics used to examine potential disproportionate impact were enrollment rates (referred as access), success rates, and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The rate for each subgroup was compared to either the college-wide rate (access) or the overall program-level rate (success and </w:t>
      </w:r>
      <w:r w:rsidDel="00000000" w:rsidR="00000000" w:rsidRPr="00000000">
        <w:rPr>
          <w:rFonts w:ascii="Arial" w:cs="Arial" w:eastAsia="Arial" w:hAnsi="Arial"/>
          <w:rtl w:val="0"/>
        </w:rPr>
        <w:t xml:space="preserve">withdrawals</w:t>
      </w:r>
      <w:r w:rsidDel="00000000" w:rsidR="00000000" w:rsidRPr="00000000">
        <w:rPr>
          <w:rFonts w:ascii="Arial" w:cs="Arial" w:eastAsia="Arial" w:hAnsi="Arial"/>
          <w:color w:val="000000"/>
          <w:rtl w:val="0"/>
        </w:rPr>
        <w:t xml:space="preserve">). The difference between the two rates is known as the ‘gap’ and may be referred to as a performance gap or equity gap. Student subgroups that may have been disproportionately impacted in Chemistry appear below (see Table 1-3). </w:t>
      </w:r>
    </w:p>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b w:val="1"/>
          <w:rtl w:val="0"/>
        </w:rPr>
        <w:t xml:space="preserve">Access</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color w:val="000000"/>
          <w:rtl w:val="0"/>
        </w:rPr>
        <w:t xml:space="preserve">Access is an indicator of what student subgroups are enrolling in courses, based on unique student counts. </w:t>
      </w:r>
      <w:r w:rsidDel="00000000" w:rsidR="00000000" w:rsidRPr="00000000">
        <w:rPr>
          <w:rFonts w:ascii="Arial" w:cs="Arial" w:eastAsia="Arial" w:hAnsi="Arial"/>
          <w:rtl w:val="0"/>
        </w:rPr>
        <w:t xml:space="preserve">Enrollment data revealed one student subgroup was underrepresented in Chemistry classes compared to the college-wide population (see Table 1). For instance, Less than Part-Time students are underrepresented in Chemistry. The proportion of less than Part-Time students in Chemistry across all course modalities was 24 percentage points lower than the proportion of Less than Part-Time students enrolled college-wide.</w:t>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Fonts w:ascii="Arial" w:cs="Arial" w:eastAsia="Arial" w:hAnsi="Arial"/>
          <w:rtl w:val="0"/>
        </w:rPr>
        <w:t xml:space="preserve">Table 1.</w:t>
      </w:r>
    </w:p>
    <w:tbl>
      <w:tblPr>
        <w:tblStyle w:val="Table1"/>
        <w:tblW w:w="3360.0" w:type="dxa"/>
        <w:jc w:val="left"/>
        <w:tblLayout w:type="fixed"/>
        <w:tblLook w:val="0400"/>
      </w:tblPr>
      <w:tblGrid>
        <w:gridCol w:w="2430"/>
        <w:gridCol w:w="930"/>
        <w:tblGridChange w:id="0">
          <w:tblGrid>
            <w:gridCol w:w="2430"/>
            <w:gridCol w:w="930"/>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4">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5">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Less than Part-Time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7">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-24%</w:t>
            </w:r>
          </w:p>
        </w:tc>
      </w:tr>
    </w:tbl>
    <w:p w:rsidR="00000000" w:rsidDel="00000000" w:rsidP="00000000" w:rsidRDefault="00000000" w:rsidRPr="00000000" w14:paraId="00000028">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Success</w:t>
      </w:r>
    </w:p>
    <w:p w:rsidR="00000000" w:rsidDel="00000000" w:rsidP="00000000" w:rsidRDefault="00000000" w:rsidRPr="00000000" w14:paraId="0000002A">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Success is the rate at which different student subgroups pass courses and is based on enrollments. The success rate for different subgroups in Chemistry was compared to the overall success rate in Chemistry. The difference between the two rates (the gap) revealed five subgroups may have been disproportionately impacted (see Table 2). For example, the success rate for Hispanic students in Chemistry was 12 percentage points lower than the overall success rate in Chemistry during the 2023-2024 academic year.</w:t>
      </w:r>
    </w:p>
    <w:p w:rsidR="00000000" w:rsidDel="00000000" w:rsidP="00000000" w:rsidRDefault="00000000" w:rsidRPr="00000000" w14:paraId="0000002B">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Table 2.</w:t>
      </w:r>
    </w:p>
    <w:tbl>
      <w:tblPr>
        <w:tblStyle w:val="Table2"/>
        <w:tblW w:w="3795.0" w:type="dxa"/>
        <w:jc w:val="left"/>
        <w:tblLayout w:type="fixed"/>
        <w:tblLook w:val="0400"/>
      </w:tblPr>
      <w:tblGrid>
        <w:gridCol w:w="2295"/>
        <w:gridCol w:w="1500"/>
        <w:tblGridChange w:id="0">
          <w:tblGrid>
            <w:gridCol w:w="2295"/>
            <w:gridCol w:w="150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C">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D">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E">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F">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-12%</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Female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1">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-17%</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2">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40-49</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3">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4">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5">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-9%</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Low Income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7">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-10%</w:t>
            </w:r>
          </w:p>
        </w:tc>
      </w:tr>
    </w:tbl>
    <w:p w:rsidR="00000000" w:rsidDel="00000000" w:rsidP="00000000" w:rsidRDefault="00000000" w:rsidRPr="00000000" w14:paraId="00000038">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9">
      <w:pPr>
        <w:rPr>
          <w:rFonts w:ascii="Arial" w:cs="Arial" w:eastAsia="Arial" w:hAnsi="Arial"/>
          <w:b w:val="1"/>
          <w:color w:val="000000"/>
        </w:rPr>
      </w:pPr>
      <w:r w:rsidDel="00000000" w:rsidR="00000000" w:rsidRPr="00000000">
        <w:rPr>
          <w:rFonts w:ascii="Arial" w:cs="Arial" w:eastAsia="Arial" w:hAnsi="Arial"/>
          <w:b w:val="1"/>
          <w:color w:val="000000"/>
          <w:rtl w:val="0"/>
        </w:rPr>
        <w:t xml:space="preserve">Withdraws</w:t>
      </w:r>
    </w:p>
    <w:p w:rsidR="00000000" w:rsidDel="00000000" w:rsidP="00000000" w:rsidRDefault="00000000" w:rsidRPr="00000000" w14:paraId="0000003A">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Withdraws is the rate at which a student withdraws from a course, with higher numbers being worse, as they indicate greater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The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for subgroups in Chemistry was compared to the overall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 for the program. One subgroup had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that were higher than the overall rate, suggesting this group experienced disproportionate impact in Chemistry. Hispanic students were disproportionately impacted in Chemistry during the 2023-2024 academic year. Hispanic students had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rates 6 percentage points higher than the average </w:t>
      </w:r>
      <w:r w:rsidDel="00000000" w:rsidR="00000000" w:rsidRPr="00000000">
        <w:rPr>
          <w:rFonts w:ascii="Arial" w:cs="Arial" w:eastAsia="Arial" w:hAnsi="Arial"/>
          <w:rtl w:val="0"/>
        </w:rPr>
        <w:t xml:space="preserve">withdrawal</w:t>
      </w:r>
      <w:r w:rsidDel="00000000" w:rsidR="00000000" w:rsidRPr="00000000">
        <w:rPr>
          <w:rFonts w:ascii="Arial" w:cs="Arial" w:eastAsia="Arial" w:hAnsi="Arial"/>
          <w:color w:val="000000"/>
          <w:rtl w:val="0"/>
        </w:rPr>
        <w:t xml:space="preserve"> rate for </w:t>
      </w:r>
      <w:r w:rsidDel="00000000" w:rsidR="00000000" w:rsidRPr="00000000">
        <w:rPr>
          <w:rFonts w:ascii="Arial" w:cs="Arial" w:eastAsia="Arial" w:hAnsi="Arial"/>
          <w:rtl w:val="0"/>
        </w:rPr>
        <w:t xml:space="preserve">Chemistry</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3B">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Table 3.</w:t>
      </w:r>
    </w:p>
    <w:tbl>
      <w:tblPr>
        <w:tblStyle w:val="Table3"/>
        <w:tblW w:w="3555.0" w:type="dxa"/>
        <w:jc w:val="left"/>
        <w:tblLayout w:type="fixed"/>
        <w:tblLook w:val="0400"/>
      </w:tblPr>
      <w:tblGrid>
        <w:gridCol w:w="2475"/>
        <w:gridCol w:w="1080"/>
        <w:tblGridChange w:id="0">
          <w:tblGrid>
            <w:gridCol w:w="2475"/>
            <w:gridCol w:w="108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C">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D">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E">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F">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6%</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Female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1">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2">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40-49</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3">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4">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45">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7%</w:t>
            </w:r>
          </w:p>
        </w:tc>
      </w:tr>
    </w:tbl>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EQUITY BY INSTRUCTIONAL MODALITY</w:t>
      </w:r>
    </w:p>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Success</w:t>
      </w:r>
    </w:p>
    <w:p w:rsidR="00000000" w:rsidDel="00000000" w:rsidP="00000000" w:rsidRDefault="00000000" w:rsidRPr="00000000" w14:paraId="00000049">
      <w:pPr>
        <w:spacing w:line="276" w:lineRule="auto"/>
        <w:rPr>
          <w:rFonts w:ascii="Arial" w:cs="Arial" w:eastAsia="Arial" w:hAnsi="Arial"/>
        </w:rPr>
      </w:pPr>
      <w:r w:rsidDel="00000000" w:rsidR="00000000" w:rsidRPr="00000000">
        <w:rPr>
          <w:rFonts w:ascii="Arial" w:cs="Arial" w:eastAsia="Arial" w:hAnsi="Arial"/>
          <w:rtl w:val="0"/>
        </w:rPr>
        <w:t xml:space="preserve">Success is the rate at which different student subgroups pass courses and is based on enrollments. The success rate for different subgroups in Chemistry was compared to the overall success rate in Chemistry. The difference between the two rates (the gap) revealed five subgroups may have been disproportionately impacted (see Table 1). For example, the success rate for Hispanic students in hybrid classes for Chemistry was 14 points lower than the overall success rate in Chemistry during the 2023-2024 academic year.</w:t>
      </w:r>
    </w:p>
    <w:p w:rsidR="00000000" w:rsidDel="00000000" w:rsidP="00000000" w:rsidRDefault="00000000" w:rsidRPr="00000000" w14:paraId="0000004A">
      <w:pPr>
        <w:spacing w:line="276" w:lineRule="auto"/>
        <w:rPr>
          <w:rFonts w:ascii="Arial" w:cs="Arial" w:eastAsia="Arial" w:hAnsi="Arial"/>
        </w:rPr>
      </w:pPr>
      <w:r w:rsidDel="00000000" w:rsidR="00000000" w:rsidRPr="00000000">
        <w:rPr>
          <w:rFonts w:ascii="Arial" w:cs="Arial" w:eastAsia="Arial" w:hAnsi="Arial"/>
          <w:rtl w:val="0"/>
        </w:rPr>
        <w:t xml:space="preserve">Table 1.</w:t>
      </w:r>
    </w:p>
    <w:tbl>
      <w:tblPr>
        <w:tblStyle w:val="Table4"/>
        <w:tblW w:w="8820.0" w:type="dxa"/>
        <w:jc w:val="left"/>
        <w:tblInd w:w="-5.0" w:type="dxa"/>
        <w:tblLayout w:type="fixed"/>
        <w:tblLook w:val="0400"/>
      </w:tblPr>
      <w:tblGrid>
        <w:gridCol w:w="2580"/>
        <w:gridCol w:w="1275"/>
        <w:gridCol w:w="1800"/>
        <w:gridCol w:w="1590"/>
        <w:gridCol w:w="1575"/>
        <w:tblGridChange w:id="0">
          <w:tblGrid>
            <w:gridCol w:w="2580"/>
            <w:gridCol w:w="1275"/>
            <w:gridCol w:w="1800"/>
            <w:gridCol w:w="1590"/>
            <w:gridCol w:w="1575"/>
          </w:tblGrid>
        </w:tblGridChange>
      </w:tblGrid>
      <w:tr>
        <w:trPr>
          <w:cantSplit w:val="0"/>
          <w:trHeight w:val="293" w:hRule="atLeast"/>
          <w:tblHeader w:val="0"/>
        </w:trPr>
        <w:tc>
          <w:tcPr>
            <w:tcBorders>
              <w:top w:color="000000" w:space="0" w:sz="8" w:val="single"/>
              <w:left w:color="000000" w:space="0" w:sz="8" w:val="single"/>
              <w:bottom w:color="000000" w:space="0" w:sz="8" w:val="single"/>
              <w:right w:color="000000" w:space="0" w:sz="8" w:val="single"/>
            </w:tcBorders>
            <w:shd w:fill="cfe2f3" w:val="clear"/>
            <w:vAlign w:val="center"/>
          </w:tcPr>
          <w:p w:rsidR="00000000" w:rsidDel="00000000" w:rsidP="00000000" w:rsidRDefault="00000000" w:rsidRPr="00000000" w14:paraId="0000004B">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8" w:val="single"/>
              <w:left w:color="000000" w:space="0" w:sz="4" w:val="single"/>
              <w:bottom w:color="000000" w:space="0" w:sz="8" w:val="single"/>
              <w:right w:color="000000" w:space="0" w:sz="8" w:val="single"/>
            </w:tcBorders>
            <w:shd w:fill="cfe2f3" w:val="clear"/>
            <w:vAlign w:val="center"/>
          </w:tcPr>
          <w:p w:rsidR="00000000" w:rsidDel="00000000" w:rsidP="00000000" w:rsidRDefault="00000000" w:rsidRPr="00000000" w14:paraId="0000004C">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ONLINE</w:t>
            </w:r>
          </w:p>
        </w:tc>
        <w:tc>
          <w:tcPr>
            <w:tcBorders>
              <w:top w:color="000000" w:space="0" w:sz="8" w:val="single"/>
              <w:left w:color="000000" w:space="0" w:sz="4" w:val="single"/>
              <w:bottom w:color="000000" w:space="0" w:sz="8" w:val="single"/>
              <w:right w:color="000000" w:space="0" w:sz="8" w:val="single"/>
            </w:tcBorders>
            <w:shd w:fill="cfe2f3" w:val="clear"/>
            <w:vAlign w:val="center"/>
          </w:tcPr>
          <w:p w:rsidR="00000000" w:rsidDel="00000000" w:rsidP="00000000" w:rsidRDefault="00000000" w:rsidRPr="00000000" w14:paraId="0000004D">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FACE TO FACE</w:t>
            </w:r>
          </w:p>
        </w:tc>
        <w:tc>
          <w:tcPr>
            <w:tcBorders>
              <w:top w:color="000000" w:space="0" w:sz="8" w:val="single"/>
              <w:left w:color="000000" w:space="0" w:sz="4" w:val="single"/>
              <w:bottom w:color="000000" w:space="0" w:sz="8" w:val="single"/>
              <w:right w:color="000000" w:space="0" w:sz="8" w:val="single"/>
            </w:tcBorders>
            <w:shd w:fill="cfe2f3" w:val="clear"/>
            <w:vAlign w:val="center"/>
          </w:tcPr>
          <w:p w:rsidR="00000000" w:rsidDel="00000000" w:rsidP="00000000" w:rsidRDefault="00000000" w:rsidRPr="00000000" w14:paraId="0000004E">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HYBRID</w:t>
            </w:r>
          </w:p>
        </w:tc>
        <w:tc>
          <w:tcPr>
            <w:tcBorders>
              <w:top w:color="000000" w:space="0" w:sz="8" w:val="single"/>
              <w:left w:color="000000" w:space="0" w:sz="4" w:val="single"/>
              <w:bottom w:color="000000" w:space="0" w:sz="8" w:val="single"/>
              <w:right w:color="000000" w:space="0" w:sz="8" w:val="single"/>
            </w:tcBorders>
            <w:shd w:fill="cfe2f3" w:val="clear"/>
            <w:vAlign w:val="center"/>
          </w:tcPr>
          <w:p w:rsidR="00000000" w:rsidDel="00000000" w:rsidP="00000000" w:rsidRDefault="00000000" w:rsidRPr="00000000" w14:paraId="0000004F">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SYNC</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1">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3">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-14%</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4">
            <w:pPr>
              <w:spacing w:after="0" w:line="240" w:lineRule="auto"/>
              <w:jc w:val="right"/>
              <w:rPr>
                <w:rFonts w:ascii="Aptos Narrow" w:cs="Aptos Narrow" w:eastAsia="Aptos Narrow" w:hAnsi="Aptos Narrow"/>
                <w:color w:val="000000"/>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5">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Female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6">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7">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8">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9">
            <w:pPr>
              <w:spacing w:after="0" w:line="240" w:lineRule="auto"/>
              <w:jc w:val="right"/>
              <w:rPr>
                <w:rFonts w:ascii="Aptos Narrow" w:cs="Aptos Narrow" w:eastAsia="Aptos Narrow" w:hAnsi="Aptos Narrow"/>
                <w:color w:val="000000"/>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A">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B">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C">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D">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5E">
            <w:pPr>
              <w:spacing w:after="0" w:line="240" w:lineRule="auto"/>
              <w:jc w:val="right"/>
              <w:rPr>
                <w:rFonts w:ascii="Aptos Narrow" w:cs="Aptos Narrow" w:eastAsia="Aptos Narrow" w:hAnsi="Aptos Narrow"/>
                <w:color w:val="000000"/>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5F">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0">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-32%</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1">
            <w:pPr>
              <w:spacing w:after="0" w:line="240" w:lineRule="auto"/>
              <w:jc w:val="right"/>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2">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63">
            <w:pPr>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64">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Multiraces - Female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65">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66">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-36%</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67">
            <w:pPr>
              <w:spacing w:after="0" w:line="240" w:lineRule="auto"/>
              <w:jc w:val="right"/>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68">
            <w:pPr>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9">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6A">
      <w:pPr>
        <w:rPr>
          <w:rFonts w:ascii="Arial" w:cs="Arial" w:eastAsia="Arial" w:hAnsi="Arial"/>
          <w:b w:val="1"/>
        </w:rPr>
      </w:pPr>
      <w:r w:rsidDel="00000000" w:rsidR="00000000" w:rsidRPr="00000000">
        <w:rPr>
          <w:rFonts w:ascii="Arial" w:cs="Arial" w:eastAsia="Arial" w:hAnsi="Arial"/>
          <w:b w:val="1"/>
          <w:rtl w:val="0"/>
        </w:rPr>
        <w:t xml:space="preserve">Withdraws</w:t>
      </w:r>
    </w:p>
    <w:p w:rsidR="00000000" w:rsidDel="00000000" w:rsidP="00000000" w:rsidRDefault="00000000" w:rsidRPr="00000000" w14:paraId="0000006B">
      <w:pPr>
        <w:spacing w:line="276" w:lineRule="auto"/>
        <w:rPr>
          <w:rFonts w:ascii="Arial" w:cs="Arial" w:eastAsia="Arial" w:hAnsi="Arial"/>
        </w:rPr>
      </w:pPr>
      <w:r w:rsidDel="00000000" w:rsidR="00000000" w:rsidRPr="00000000">
        <w:rPr>
          <w:rFonts w:ascii="Arial" w:cs="Arial" w:eastAsia="Arial" w:hAnsi="Arial"/>
          <w:rtl w:val="0"/>
        </w:rPr>
        <w:t xml:space="preserve">Withdraws is the rate at which a student withdraws from a course, with higher numbers being worse, as they indicate greater withdrawal rates. The withdrawal rates for subgroups in Chemistry was compared to the overall withdrawal rate for the program. Two subgroups had withdrawal rates that were higher than the overall rate, suggesting these groups experienced disproportionate impact in Chemistry. Hispanic students were disproportionately impacted in Chemistry during the 2023-2024 academic year. For example, Hispanic students in Hybrid classes had withdrawal rates 9 percentage points higher than the average withdrawal rate for Chemistry.</w:t>
      </w:r>
    </w:p>
    <w:p w:rsidR="00000000" w:rsidDel="00000000" w:rsidP="00000000" w:rsidRDefault="00000000" w:rsidRPr="00000000" w14:paraId="0000006C">
      <w:pPr>
        <w:spacing w:line="276" w:lineRule="auto"/>
        <w:rPr>
          <w:rFonts w:ascii="Arial" w:cs="Arial" w:eastAsia="Arial" w:hAnsi="Arial"/>
        </w:rPr>
      </w:pPr>
      <w:r w:rsidDel="00000000" w:rsidR="00000000" w:rsidRPr="00000000">
        <w:rPr>
          <w:rFonts w:ascii="Arial" w:cs="Arial" w:eastAsia="Arial" w:hAnsi="Arial"/>
          <w:rtl w:val="0"/>
        </w:rPr>
        <w:t xml:space="preserve">Table 2.</w:t>
      </w:r>
    </w:p>
    <w:tbl>
      <w:tblPr>
        <w:tblStyle w:val="Table5"/>
        <w:tblW w:w="9495.0" w:type="dxa"/>
        <w:jc w:val="left"/>
        <w:tblLayout w:type="fixed"/>
        <w:tblLook w:val="0400"/>
      </w:tblPr>
      <w:tblGrid>
        <w:gridCol w:w="2580"/>
        <w:gridCol w:w="1590"/>
        <w:gridCol w:w="2430"/>
        <w:gridCol w:w="1590"/>
        <w:gridCol w:w="1305"/>
        <w:tblGridChange w:id="0">
          <w:tblGrid>
            <w:gridCol w:w="2580"/>
            <w:gridCol w:w="1590"/>
            <w:gridCol w:w="2430"/>
            <w:gridCol w:w="1590"/>
            <w:gridCol w:w="1305"/>
          </w:tblGrid>
        </w:tblGridChange>
      </w:tblGrid>
      <w:tr>
        <w:trPr>
          <w:cantSplit w:val="0"/>
          <w:trHeight w:val="293" w:hRule="atLeast"/>
          <w:tblHeader w:val="0"/>
        </w:trPr>
        <w:tc>
          <w:tcPr>
            <w:tcBorders>
              <w:top w:color="000000" w:space="0" w:sz="8" w:val="single"/>
              <w:left w:color="000000" w:space="0" w:sz="8" w:val="single"/>
              <w:bottom w:color="000000" w:space="0" w:sz="4" w:val="single"/>
              <w:right w:color="000000" w:space="0" w:sz="8" w:val="single"/>
            </w:tcBorders>
            <w:shd w:fill="d0e0e3" w:val="clear"/>
            <w:vAlign w:val="cente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SubGroup</w:t>
            </w:r>
          </w:p>
        </w:tc>
        <w:tc>
          <w:tcPr>
            <w:tcBorders>
              <w:top w:color="000000" w:space="0" w:sz="8" w:val="single"/>
              <w:left w:color="000000" w:space="0" w:sz="4" w:val="single"/>
              <w:bottom w:color="000000" w:space="0" w:sz="4" w:val="single"/>
              <w:right w:color="000000" w:space="0" w:sz="8" w:val="single"/>
            </w:tcBorders>
            <w:shd w:fill="d0e0e3" w:val="clear"/>
            <w:vAlign w:val="cente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ONLINE</w:t>
            </w:r>
          </w:p>
        </w:tc>
        <w:tc>
          <w:tcPr>
            <w:tcBorders>
              <w:top w:color="000000" w:space="0" w:sz="8" w:val="single"/>
              <w:left w:color="000000" w:space="0" w:sz="4" w:val="single"/>
              <w:bottom w:color="000000" w:space="0" w:sz="4" w:val="single"/>
              <w:right w:color="000000" w:space="0" w:sz="8" w:val="single"/>
            </w:tcBorders>
            <w:shd w:fill="d0e0e3" w:val="clear"/>
            <w:vAlign w:val="cente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FACE TO FACE</w:t>
            </w:r>
          </w:p>
        </w:tc>
        <w:tc>
          <w:tcPr>
            <w:tcBorders>
              <w:top w:color="000000" w:space="0" w:sz="8" w:val="single"/>
              <w:left w:color="000000" w:space="0" w:sz="4" w:val="single"/>
              <w:bottom w:color="000000" w:space="0" w:sz="4" w:val="single"/>
              <w:right w:color="000000" w:space="0" w:sz="8" w:val="single"/>
            </w:tcBorders>
            <w:shd w:fill="d0e0e3" w:val="clear"/>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HYBRID</w:t>
            </w:r>
          </w:p>
        </w:tc>
        <w:tc>
          <w:tcPr>
            <w:tcBorders>
              <w:top w:color="000000" w:space="0" w:sz="8" w:val="single"/>
              <w:left w:color="000000" w:space="0" w:sz="4" w:val="single"/>
              <w:bottom w:color="000000" w:space="0" w:sz="4" w:val="single"/>
              <w:right w:color="000000" w:space="0" w:sz="8" w:val="single"/>
            </w:tcBorders>
            <w:shd w:fill="d0e0e3" w:val="clear"/>
            <w:vAlign w:val="cente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SYNC</w:t>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2">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3">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4">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5">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19%</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6">
            <w:pPr>
              <w:spacing w:after="0" w:line="240" w:lineRule="auto"/>
              <w:rPr>
                <w:rFonts w:ascii="Aptos Narrow" w:cs="Aptos Narrow" w:eastAsia="Aptos Narrow" w:hAnsi="Aptos Narrow"/>
                <w:color w:val="000000"/>
              </w:rPr>
            </w:pPr>
            <w:r w:rsidDel="00000000" w:rsidR="00000000" w:rsidRPr="00000000">
              <w:rPr>
                <w:rtl w:val="0"/>
              </w:rPr>
            </w:r>
          </w:p>
        </w:tc>
      </w:tr>
      <w:tr>
        <w:trPr>
          <w:cantSplit w:val="0"/>
          <w:trHeight w:val="293"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8">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spacing w:after="0" w:line="240" w:lineRule="auto"/>
              <w:rPr>
                <w:rFonts w:ascii="Aptos Narrow" w:cs="Aptos Narrow" w:eastAsia="Aptos Narrow" w:hAnsi="Aptos Narrow"/>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A">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spacing w:after="0" w:line="240" w:lineRule="auto"/>
              <w:rPr>
                <w:rFonts w:ascii="Aptos Narrow" w:cs="Aptos Narrow" w:eastAsia="Aptos Narrow" w:hAnsi="Aptos Narrow"/>
                <w:color w:val="000000"/>
              </w:rPr>
            </w:pPr>
            <w:r w:rsidDel="00000000" w:rsidR="00000000" w:rsidRPr="00000000">
              <w:rPr>
                <w:rtl w:val="0"/>
              </w:rPr>
            </w:r>
          </w:p>
        </w:tc>
      </w:tr>
    </w:tbl>
    <w:p w:rsidR="00000000" w:rsidDel="00000000" w:rsidP="00000000" w:rsidRDefault="00000000" w:rsidRPr="00000000" w14:paraId="0000007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7E">
      <w:pPr>
        <w:spacing w:after="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7F">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8C. Completion – Success Online</w:t>
      </w:r>
      <w:r w:rsidDel="00000000" w:rsidR="00000000" w:rsidRPr="00000000">
        <w:rPr>
          <w:rtl w:val="0"/>
        </w:rPr>
      </w:r>
    </w:p>
    <w:p w:rsidR="00000000" w:rsidDel="00000000" w:rsidP="00000000" w:rsidRDefault="00000000" w:rsidRPr="00000000" w14:paraId="00000080">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rtl w:val="0"/>
        </w:rPr>
        <w:t xml:space="preserve">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r w:rsidDel="00000000" w:rsidR="00000000" w:rsidRPr="00000000">
        <w:rPr>
          <w:rtl w:val="0"/>
        </w:rPr>
      </w:r>
    </w:p>
    <w:p w:rsidR="00000000" w:rsidDel="00000000" w:rsidP="00000000" w:rsidRDefault="00000000" w:rsidRPr="00000000" w14:paraId="00000081">
      <w:pPr>
        <w:rPr>
          <w:rFonts w:ascii="Arial" w:cs="Arial" w:eastAsia="Arial" w:hAnsi="Arial"/>
          <w:color w:val="000000"/>
        </w:rPr>
      </w:pPr>
      <w:r w:rsidDel="00000000" w:rsidR="00000000" w:rsidRPr="00000000">
        <w:rPr>
          <w:rtl w:val="0"/>
        </w:rPr>
      </w:r>
    </w:p>
    <w:p w:rsidR="00000000" w:rsidDel="00000000" w:rsidP="00000000" w:rsidRDefault="00000000" w:rsidRPr="00000000" w14:paraId="00000082">
      <w:pPr>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4617245" cy="5896360"/>
            <wp:effectExtent b="0" l="0" r="0" t="0"/>
            <wp:docPr descr="A graph with numbers and lines&#10;&#10;Description automatically generated" id="1663024853" name="image5.png"/>
            <a:graphic>
              <a:graphicData uri="http://schemas.openxmlformats.org/drawingml/2006/picture">
                <pic:pic>
                  <pic:nvPicPr>
                    <pic:cNvPr descr="A graph with numbers and lines&#10;&#10;Description automatically generated" id="0" name="image5.png"/>
                    <pic:cNvPicPr preferRelativeResize="0"/>
                  </pic:nvPicPr>
                  <pic:blipFill>
                    <a:blip r:embed="rId15"/>
                    <a:srcRect b="0" l="0" r="0" t="0"/>
                    <a:stretch>
                      <a:fillRect/>
                    </a:stretch>
                  </pic:blipFill>
                  <pic:spPr>
                    <a:xfrm>
                      <a:off x="0" y="0"/>
                      <a:ext cx="4617245" cy="589636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Success rates for Online classes in Chemistry increased from 66% to 82% between 2019-2020 and 2021-2022. They then fell to 63% in 2022-2023 and only recovered slightly to 69% in 2023-2024. Face to face class success rates primarily stayed between 73% and 74% with an anomaly of a 100% success rate in 2022-2023. Synchronous class success rates peaked in 2021-2022 at 65% and then dropped significantly to 32% in the 2022-2023 academic year. The success rate bounced back slightly in 2023-2024 to 44%.</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Aptos Narro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rtl w:val="0"/>
        </w:rPr>
        <w:t xml:space="preserve">Source: </w:t>
      </w:r>
      <w:r w:rsidDel="00000000" w:rsidR="00000000" w:rsidRPr="00000000">
        <w:rPr>
          <w:rFonts w:ascii="Arial" w:cs="Arial" w:eastAsia="Arial" w:hAnsi="Arial"/>
          <w:color w:val="0563c2"/>
          <w:rtl w:val="0"/>
        </w:rPr>
        <w:t xml:space="preserve">https://canadacollege.edu/prie/dashboards/disproportionate-impact.php</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9447E3"/>
  </w:style>
  <w:style w:type="paragraph" w:styleId="Heading1">
    <w:name w:val="heading 1"/>
    <w:basedOn w:val="Normal"/>
    <w:next w:val="Normal"/>
    <w:link w:val="Heading1Char"/>
    <w:uiPriority w:val="9"/>
    <w:qFormat w:val="1"/>
    <w:rsid w:val="00A710F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A710F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A710F0"/>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A710F0"/>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A710F0"/>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A710F0"/>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A710F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710F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710F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710F0"/>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A710F0"/>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710F0"/>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710F0"/>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710F0"/>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710F0"/>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710F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710F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710F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710F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710F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A710F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710F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710F0"/>
    <w:rPr>
      <w:i w:val="1"/>
      <w:iCs w:val="1"/>
      <w:color w:val="404040" w:themeColor="text1" w:themeTint="0000BF"/>
    </w:rPr>
  </w:style>
  <w:style w:type="paragraph" w:styleId="ListParagraph">
    <w:name w:val="List Paragraph"/>
    <w:basedOn w:val="Normal"/>
    <w:uiPriority w:val="34"/>
    <w:qFormat w:val="1"/>
    <w:rsid w:val="00A710F0"/>
    <w:pPr>
      <w:ind w:left="720"/>
      <w:contextualSpacing w:val="1"/>
    </w:pPr>
  </w:style>
  <w:style w:type="character" w:styleId="IntenseEmphasis">
    <w:name w:val="Intense Emphasis"/>
    <w:basedOn w:val="DefaultParagraphFont"/>
    <w:uiPriority w:val="21"/>
    <w:qFormat w:val="1"/>
    <w:rsid w:val="00A710F0"/>
    <w:rPr>
      <w:i w:val="1"/>
      <w:iCs w:val="1"/>
      <w:color w:val="0f4761" w:themeColor="accent1" w:themeShade="0000BF"/>
    </w:rPr>
  </w:style>
  <w:style w:type="paragraph" w:styleId="IntenseQuote">
    <w:name w:val="Intense Quote"/>
    <w:basedOn w:val="Normal"/>
    <w:next w:val="Normal"/>
    <w:link w:val="IntenseQuoteChar"/>
    <w:uiPriority w:val="30"/>
    <w:qFormat w:val="1"/>
    <w:rsid w:val="00A710F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710F0"/>
    <w:rPr>
      <w:i w:val="1"/>
      <w:iCs w:val="1"/>
      <w:color w:val="0f4761" w:themeColor="accent1" w:themeShade="0000BF"/>
    </w:rPr>
  </w:style>
  <w:style w:type="character" w:styleId="IntenseReference">
    <w:name w:val="Intense Reference"/>
    <w:basedOn w:val="DefaultParagraphFont"/>
    <w:uiPriority w:val="32"/>
    <w:qFormat w:val="1"/>
    <w:rsid w:val="00A710F0"/>
    <w:rPr>
      <w:b w:val="1"/>
      <w:bCs w:val="1"/>
      <w:smallCaps w:val="1"/>
      <w:color w:val="0f4761" w:themeColor="accent1" w:themeShade="0000BF"/>
      <w:spacing w:val="5"/>
    </w:rPr>
  </w:style>
  <w:style w:type="character" w:styleId="Hyperlink">
    <w:name w:val="Hyperlink"/>
    <w:basedOn w:val="DefaultParagraphFont"/>
    <w:uiPriority w:val="99"/>
    <w:unhideWhenUsed w:val="1"/>
    <w:rsid w:val="006D2939"/>
    <w:rPr>
      <w:color w:val="0000ff"/>
      <w:u w:val="single"/>
    </w:rPr>
  </w:style>
  <w:style w:type="paragraph" w:styleId="FootnoteText">
    <w:name w:val="footnote text"/>
    <w:basedOn w:val="Normal"/>
    <w:link w:val="FootnoteTextChar"/>
    <w:uiPriority w:val="99"/>
    <w:semiHidden w:val="1"/>
    <w:unhideWhenUsed w:val="1"/>
    <w:rsid w:val="0038056F"/>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38056F"/>
    <w:rPr>
      <w:kern w:val="0"/>
      <w:sz w:val="20"/>
      <w:szCs w:val="20"/>
    </w:rPr>
  </w:style>
  <w:style w:type="character" w:styleId="FootnoteReference">
    <w:name w:val="footnote reference"/>
    <w:basedOn w:val="DefaultParagraphFont"/>
    <w:uiPriority w:val="99"/>
    <w:semiHidden w:val="1"/>
    <w:unhideWhenUsed w:val="1"/>
    <w:rsid w:val="0038056F"/>
    <w:rPr>
      <w:vertAlign w:val="superscript"/>
    </w:rPr>
  </w:style>
  <w:style w:type="character" w:styleId="UnresolvedMention">
    <w:name w:val="Unresolved Mention"/>
    <w:basedOn w:val="DefaultParagraphFont"/>
    <w:uiPriority w:val="99"/>
    <w:semiHidden w:val="1"/>
    <w:unhideWhenUsed w:val="1"/>
    <w:rsid w:val="002F6E86"/>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6.png"/><Relationship Id="rId13" Type="http://schemas.openxmlformats.org/officeDocument/2006/relationships/image" Target="media/image2.png"/><Relationship Id="rId12" Type="http://schemas.openxmlformats.org/officeDocument/2006/relationships/hyperlink" Target="https://canadacollege.edu/prie/data-dashboard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image" Target="media/image5.png"/><Relationship Id="rId14" Type="http://schemas.openxmlformats.org/officeDocument/2006/relationships/chart" Target="charts/chart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jushu\Downloads\chemistry_course_enrollment_report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Course</a:t>
            </a:r>
            <a:r>
              <a:rPr lang="en-US" sz="1800" baseline="0"/>
              <a:t> Success and Withdraw Rates</a:t>
            </a:r>
          </a:p>
          <a:p>
            <a:pPr>
              <a:defRPr/>
            </a:pPr>
            <a:r>
              <a:rPr lang="en-US" sz="1800" baseline="0"/>
              <a:t>2019-2020 to 2023-2024</a:t>
            </a:r>
            <a:endParaRPr lang="en-US"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'SUCCESS BY COURSE'!$R$2</c:f>
              <c:strCache>
                <c:ptCount val="1"/>
                <c:pt idx="0">
                  <c:v>Total Success Rate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COURSE'!$Q$3:$Q$8</c:f>
              <c:strCache>
                <c:ptCount val="6"/>
                <c:pt idx="0">
                  <c:v>CHEM-192</c:v>
                </c:pt>
                <c:pt idx="1">
                  <c:v>CHEM-210</c:v>
                </c:pt>
                <c:pt idx="2">
                  <c:v>CHEM-220</c:v>
                </c:pt>
                <c:pt idx="3">
                  <c:v>CHEM-231</c:v>
                </c:pt>
                <c:pt idx="4">
                  <c:v>CHEM-232</c:v>
                </c:pt>
                <c:pt idx="5">
                  <c:v>CHEM-410</c:v>
                </c:pt>
              </c:strCache>
            </c:strRef>
          </c:cat>
          <c:val>
            <c:numRef>
              <c:f>'SUCCESS BY COURSE'!$R$3:$R$8</c:f>
              <c:numCache>
                <c:formatCode>#,##0%;\*</c:formatCode>
                <c:ptCount val="6"/>
                <c:pt idx="0">
                  <c:v>0.57651245551601404</c:v>
                </c:pt>
                <c:pt idx="1">
                  <c:v>0.67425320056898996</c:v>
                </c:pt>
                <c:pt idx="2">
                  <c:v>0.830655129789864</c:v>
                </c:pt>
                <c:pt idx="3">
                  <c:v>0.765625</c:v>
                </c:pt>
                <c:pt idx="4">
                  <c:v>0.95283018867924496</c:v>
                </c:pt>
                <c:pt idx="5">
                  <c:v>0.67774566473988396</c:v>
                </c:pt>
              </c:numCache>
            </c:numRef>
          </c:val>
          <c:extLst>
            <c:ext xmlns:c16="http://schemas.microsoft.com/office/drawing/2014/chart" uri="{C3380CC4-5D6E-409C-BE32-E72D297353CC}">
              <c16:uniqueId val="{00000000-E597-4BE9-958C-A25C80F0C163}"/>
            </c:ext>
          </c:extLst>
        </c:ser>
        <c:ser>
          <c:idx val="1"/>
          <c:order val="1"/>
          <c:tx>
            <c:strRef>
              <c:f>'SUCCESS BY COURSE'!$S$2</c:f>
              <c:strCache>
                <c:ptCount val="1"/>
                <c:pt idx="0">
                  <c:v>Total Withdraw Rate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COURSE'!$Q$3:$Q$8</c:f>
              <c:strCache>
                <c:ptCount val="6"/>
                <c:pt idx="0">
                  <c:v>CHEM-192</c:v>
                </c:pt>
                <c:pt idx="1">
                  <c:v>CHEM-210</c:v>
                </c:pt>
                <c:pt idx="2">
                  <c:v>CHEM-220</c:v>
                </c:pt>
                <c:pt idx="3">
                  <c:v>CHEM-231</c:v>
                </c:pt>
                <c:pt idx="4">
                  <c:v>CHEM-232</c:v>
                </c:pt>
                <c:pt idx="5">
                  <c:v>CHEM-410</c:v>
                </c:pt>
              </c:strCache>
            </c:strRef>
          </c:cat>
          <c:val>
            <c:numRef>
              <c:f>'SUCCESS BY COURSE'!$S$3:$S$8</c:f>
              <c:numCache>
                <c:formatCode>#,##0%;\*</c:formatCode>
                <c:ptCount val="6"/>
                <c:pt idx="0">
                  <c:v>0.245551601423488</c:v>
                </c:pt>
                <c:pt idx="1">
                  <c:v>0.22546230440967299</c:v>
                </c:pt>
                <c:pt idx="2">
                  <c:v>0.12484548825710801</c:v>
                </c:pt>
                <c:pt idx="3">
                  <c:v>0.140625</c:v>
                </c:pt>
                <c:pt idx="4">
                  <c:v>1.88679245283019E-2</c:v>
                </c:pt>
                <c:pt idx="5">
                  <c:v>0.190751445086705</c:v>
                </c:pt>
              </c:numCache>
            </c:numRef>
          </c:val>
          <c:extLst>
            <c:ext xmlns:c16="http://schemas.microsoft.com/office/drawing/2014/chart" uri="{C3380CC4-5D6E-409C-BE32-E72D297353CC}">
              <c16:uniqueId val="{00000001-E597-4BE9-958C-A25C80F0C163}"/>
            </c:ext>
          </c:extLst>
        </c:ser>
        <c:dLbls>
          <c:dLblPos val="outEnd"/>
          <c:showLegendKey val="0"/>
          <c:showVal val="1"/>
          <c:showCatName val="0"/>
          <c:showSerName val="0"/>
          <c:showPercent val="0"/>
          <c:showBubbleSize val="0"/>
        </c:dLbls>
        <c:gapWidth val="182"/>
        <c:axId val="1930933872"/>
        <c:axId val="1930922832"/>
      </c:barChart>
      <c:catAx>
        <c:axId val="1930933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0922832"/>
        <c:crosses val="autoZero"/>
        <c:auto val="1"/>
        <c:lblAlgn val="ctr"/>
        <c:lblOffset val="100"/>
        <c:noMultiLvlLbl val="0"/>
      </c:catAx>
      <c:valAx>
        <c:axId val="19309228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093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FW6Bs30nRu301pAABYMn/zmhsw==">CgMxLjAyCGguZ2pkZ3hzOAByITFCX3Y2X0ZJUl92SVEycDlHNHRqZlc0anZId3ZXSERZbA==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2024-07-22T15:56:00Z</dcterms:created>
  <dc:creator>Justin Huskins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