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Computer Science</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rPr/>
      </w:pPr>
      <w:r w:rsidDel="00000000" w:rsidR="00000000" w:rsidRPr="00000000">
        <w:rPr/>
        <w:drawing>
          <wp:inline distB="0" distT="0" distL="0" distR="0">
            <wp:extent cx="3539159" cy="2455858"/>
            <wp:effectExtent b="0" l="0" r="0" t="0"/>
            <wp:docPr descr="A graph with blue and orange lines&#10;&#10;Description automatically generated" id="2135855005" name="image3.png"/>
            <a:graphic>
              <a:graphicData uri="http://schemas.openxmlformats.org/drawingml/2006/picture">
                <pic:pic>
                  <pic:nvPicPr>
                    <pic:cNvPr descr="A graph with blue and orange lines&#10;&#10;Description automatically generated" id="0" name="image3.png"/>
                    <pic:cNvPicPr preferRelativeResize="0"/>
                  </pic:nvPicPr>
                  <pic:blipFill>
                    <a:blip r:embed="rId8"/>
                    <a:srcRect b="0" l="0" r="0" t="0"/>
                    <a:stretch>
                      <a:fillRect/>
                    </a:stretch>
                  </pic:blipFill>
                  <pic:spPr>
                    <a:xfrm>
                      <a:off x="0" y="0"/>
                      <a:ext cx="3539159" cy="245585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Enrollments rose from 565 to 661 between 2019-2020 and 2020-2021. It then sharply declined to 482 in 2020-2021. It has since slowly recovered to 535 in 2023-2024. Headcount has followed the same trend aside from having that recovery in 2023-2024.</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0" distT="0" distL="0" distR="0">
            <wp:extent cx="3607713" cy="2622530"/>
            <wp:effectExtent b="0" l="0" r="0" t="0"/>
            <wp:docPr descr="A graph with a line and numbers&#10;&#10;Description automatically generated" id="2135855007" name="image5.png"/>
            <a:graphic>
              <a:graphicData uri="http://schemas.openxmlformats.org/drawingml/2006/picture">
                <pic:pic>
                  <pic:nvPicPr>
                    <pic:cNvPr descr="A graph with a line and numbers&#10;&#10;Description automatically generated" id="0" name="image5.png"/>
                    <pic:cNvPicPr preferRelativeResize="0"/>
                  </pic:nvPicPr>
                  <pic:blipFill>
                    <a:blip r:embed="rId9"/>
                    <a:srcRect b="0" l="0" r="0" t="0"/>
                    <a:stretch>
                      <a:fillRect/>
                    </a:stretch>
                  </pic:blipFill>
                  <pic:spPr>
                    <a:xfrm>
                      <a:off x="0" y="0"/>
                      <a:ext cx="3607713" cy="262253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Section count peaked at 27 in 2020-2021. It then sharply declined to 19 between then and 2022-2023. It then went up slightly to 20 in 2023-2024. This puts it very roughly in line with the enrollment trend.</w:t>
      </w:r>
    </w:p>
    <w:p w:rsidR="00000000" w:rsidDel="00000000" w:rsidP="00000000" w:rsidRDefault="00000000" w:rsidRPr="00000000" w14:paraId="0000000A">
      <w:pPr>
        <w:rPr/>
      </w:pPr>
      <w:r w:rsidDel="00000000" w:rsidR="00000000" w:rsidRPr="00000000">
        <w:rPr/>
        <w:drawing>
          <wp:inline distB="0" distT="0" distL="0" distR="0">
            <wp:extent cx="4246387" cy="3230158"/>
            <wp:effectExtent b="0" l="0" r="0" t="0"/>
            <wp:docPr descr="A graph with a line and numbers&#10;&#10;Description automatically generated" id="2135855006" name="image4.png"/>
            <a:graphic>
              <a:graphicData uri="http://schemas.openxmlformats.org/drawingml/2006/picture">
                <pic:pic>
                  <pic:nvPicPr>
                    <pic:cNvPr descr="A graph with a line and numbers&#10;&#10;Description automatically generated" id="0" name="image4.png"/>
                    <pic:cNvPicPr preferRelativeResize="0"/>
                  </pic:nvPicPr>
                  <pic:blipFill>
                    <a:blip r:embed="rId10"/>
                    <a:srcRect b="0" l="0" r="0" t="0"/>
                    <a:stretch>
                      <a:fillRect/>
                    </a:stretch>
                  </pic:blipFill>
                  <pic:spPr>
                    <a:xfrm>
                      <a:off x="0" y="0"/>
                      <a:ext cx="4246387" cy="323015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Section count went up to 27 in 2020-2021 from 25 in 2019-2020. It then fell to 19 between then and 2022-2023. Finally it rose up to 20 in 2023-2024 putting it roughly in line with the enrollment trend.</w:t>
      </w:r>
    </w:p>
    <w:p w:rsidR="00000000" w:rsidDel="00000000" w:rsidP="00000000" w:rsidRDefault="00000000" w:rsidRPr="00000000" w14:paraId="0000000C">
      <w:pPr>
        <w:rPr/>
      </w:pPr>
      <w:r w:rsidDel="00000000" w:rsidR="00000000" w:rsidRPr="00000000">
        <w:rPr/>
        <w:drawing>
          <wp:inline distB="0" distT="0" distL="0" distR="0">
            <wp:extent cx="5095771" cy="3824551"/>
            <wp:effectExtent b="0" l="0" r="0" t="0"/>
            <wp:docPr descr="A graph with numbers and a line&#10;&#10;Description automatically generated" id="2135855009" name="image7.png"/>
            <a:graphic>
              <a:graphicData uri="http://schemas.openxmlformats.org/drawingml/2006/picture">
                <pic:pic>
                  <pic:nvPicPr>
                    <pic:cNvPr descr="A graph with numbers and a line&#10;&#10;Description automatically generated" id="0" name="image7.png"/>
                    <pic:cNvPicPr preferRelativeResize="0"/>
                  </pic:nvPicPr>
                  <pic:blipFill>
                    <a:blip r:embed="rId11"/>
                    <a:srcRect b="0" l="0" r="0" t="0"/>
                    <a:stretch>
                      <a:fillRect/>
                    </a:stretch>
                  </pic:blipFill>
                  <pic:spPr>
                    <a:xfrm>
                      <a:off x="0" y="0"/>
                      <a:ext cx="5095771" cy="382455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FTEF is roughly in line with the enrollment trend. FTEF rose from 6 to 7 between 2019-2020 and 2020-2021 and then fell thereafter until it reached 4 in 2022-2023. There was a brief recovery to 5 in 2023-2024. FTES went from 73 to 87 between 2019-2020 and 2020-2021. FTES then declined to 62 by 2022-2023. It recovered partially to 76.79 in 2023-2024, but not back to its peak.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0" distT="0" distL="0" distR="0">
            <wp:extent cx="3839240" cy="2763760"/>
            <wp:effectExtent b="0" l="0" r="0" t="0"/>
            <wp:docPr descr="A graph with a line and numbers&#10;&#10;Description automatically generated" id="2135855008" name="image1.png"/>
            <a:graphic>
              <a:graphicData uri="http://schemas.openxmlformats.org/drawingml/2006/picture">
                <pic:pic>
                  <pic:nvPicPr>
                    <pic:cNvPr descr="A graph with a line and numbers&#10;&#10;Description automatically generated" id="0" name="image1.png"/>
                    <pic:cNvPicPr preferRelativeResize="0"/>
                  </pic:nvPicPr>
                  <pic:blipFill>
                    <a:blip r:embed="rId12"/>
                    <a:srcRect b="0" l="0" r="0" t="0"/>
                    <a:stretch>
                      <a:fillRect/>
                    </a:stretch>
                  </pic:blipFill>
                  <pic:spPr>
                    <a:xfrm>
                      <a:off x="0" y="0"/>
                      <a:ext cx="3839240" cy="276376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Load didn’t have any notable trends between 2019-2020 and 2021-2022 other than rising to 382 in 2020-2021. However, between 2021-2022 and 2023-2024 load rose from 327 to 442.</w:t>
      </w:r>
    </w:p>
    <w:p w:rsidR="00000000" w:rsidDel="00000000" w:rsidP="00000000" w:rsidRDefault="00000000" w:rsidRPr="00000000" w14:paraId="00000011">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3">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5">
      <w:pPr>
        <w:rPr/>
      </w:pPr>
      <w:r w:rsidDel="00000000" w:rsidR="00000000" w:rsidRPr="00000000">
        <w:rPr/>
        <w:drawing>
          <wp:inline distB="0" distT="0" distL="0" distR="0">
            <wp:extent cx="4272056" cy="5230074"/>
            <wp:effectExtent b="0" l="0" r="0" t="0"/>
            <wp:docPr descr="A graph with blue and orange lines&#10;&#10;Description automatically generated" id="2135855003" name="image6.png"/>
            <a:graphic>
              <a:graphicData uri="http://schemas.openxmlformats.org/drawingml/2006/picture">
                <pic:pic>
                  <pic:nvPicPr>
                    <pic:cNvPr descr="A graph with blue and orange lines&#10;&#10;Description automatically generated" id="0" name="image6.png"/>
                    <pic:cNvPicPr preferRelativeResize="0"/>
                  </pic:nvPicPr>
                  <pic:blipFill>
                    <a:blip r:embed="rId14"/>
                    <a:srcRect b="0" l="0" r="0" t="0"/>
                    <a:stretch>
                      <a:fillRect/>
                    </a:stretch>
                  </pic:blipFill>
                  <pic:spPr>
                    <a:xfrm>
                      <a:off x="0" y="0"/>
                      <a:ext cx="4272056" cy="523007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Success rates fell from 66 to 58% in 2020-2021. Between 2020-2021 and 2022-2023 success rates began to climb up past their initial peak of 66% to 69%. They then fell to 67% in 2023-2024. Withdrawal rates were relatively flat, only fluctuating between 16-18%. However, there was a notable peak of 26% in 2020-2021.</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0" distT="0" distL="0" distR="0">
            <wp:extent cx="5943600" cy="4733925"/>
            <wp:docPr id="2135855002"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withdraw rate ranged from a maximum of 33% in CIS-321 to a minimum of 6% in CIS-262. The maximum success rate was 87% in CIS 262 and the minimum success rate was 37% in CIS-295.</w:t>
      </w:r>
    </w:p>
    <w:p w:rsidR="00000000" w:rsidDel="00000000" w:rsidP="00000000" w:rsidRDefault="00000000" w:rsidRPr="00000000" w14:paraId="0000001A">
      <w:pPr>
        <w:spacing w:after="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8B. Student Equity</w:t>
      </w:r>
    </w:p>
    <w:p w:rsidR="00000000" w:rsidDel="00000000" w:rsidP="00000000" w:rsidRDefault="00000000" w:rsidRPr="00000000" w14:paraId="0000001B">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1C">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Computer Science in the most recent academic year (2023-2024)</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Computer Science appear below (see Table 1-3). </w:t>
      </w:r>
    </w:p>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two student subgroups were underrepresented in Computer Science classes compared to the college-wide population (see Table 1). For instance, female students are underrepresented in Computer Science. The proportion of female students in Computer Science across all course modalities was 33 percentage points lower than the proportion of female students enrolled college-wide.</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3990.0" w:type="dxa"/>
        <w:jc w:val="left"/>
        <w:tblLayout w:type="fixed"/>
        <w:tblLook w:val="0400"/>
      </w:tblPr>
      <w:tblGrid>
        <w:gridCol w:w="2415"/>
        <w:gridCol w:w="1575"/>
        <w:tblGridChange w:id="0">
          <w:tblGrid>
            <w:gridCol w:w="2415"/>
            <w:gridCol w:w="1575"/>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3">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6">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-33%</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7">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Less than Part-Time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w:t>
            </w:r>
          </w:p>
        </w:tc>
      </w:tr>
    </w:tbl>
    <w:p w:rsidR="00000000" w:rsidDel="00000000" w:rsidP="00000000" w:rsidRDefault="00000000" w:rsidRPr="00000000" w14:paraId="00000029">
      <w:pPr>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2B">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Computer Science was compared to the overall success rate in Computer Science. The difference between the two rates (the gap) revealed five subgroups may have been disproportionately impacted (see Table 2). For example, the success rate for Hispanic students in Computer Science was 12 percentage points lower than the overall success rate in Computer Science during the 2023-2024 academic year.</w:t>
      </w:r>
    </w:p>
    <w:p w:rsidR="00000000" w:rsidDel="00000000" w:rsidP="00000000" w:rsidRDefault="00000000" w:rsidRPr="00000000" w14:paraId="0000002C">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2.</w:t>
      </w:r>
    </w:p>
    <w:tbl>
      <w:tblPr>
        <w:tblStyle w:val="Table2"/>
        <w:tblW w:w="3570.0" w:type="dxa"/>
        <w:jc w:val="left"/>
        <w:tblLayout w:type="fixed"/>
        <w:tblLook w:val="0400"/>
      </w:tblPr>
      <w:tblGrid>
        <w:gridCol w:w="2505"/>
        <w:gridCol w:w="1065"/>
        <w:tblGridChange w:id="0">
          <w:tblGrid>
            <w:gridCol w:w="2505"/>
            <w:gridCol w:w="106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D">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E">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F">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0">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-12%</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2">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-14%</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3">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23-28</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4">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-14%</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29-39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-18%</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7">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Disabled</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8">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-20%</w:t>
            </w:r>
          </w:p>
        </w:tc>
      </w:tr>
    </w:tbl>
    <w:p w:rsidR="00000000" w:rsidDel="00000000" w:rsidP="00000000" w:rsidRDefault="00000000" w:rsidRPr="00000000" w14:paraId="00000039">
      <w:pPr>
        <w:rPr>
          <w:rFonts w:ascii="Arial" w:cs="Arial" w:eastAsia="Arial" w:hAnsi="Arial"/>
          <w:color w:val="000000"/>
        </w:rPr>
      </w:pPr>
      <w:r w:rsidDel="00000000" w:rsidR="00000000" w:rsidRPr="00000000">
        <w:rPr>
          <w:rtl w:val="0"/>
        </w:rPr>
      </w:r>
    </w:p>
    <w:p w:rsidR="00000000" w:rsidDel="00000000" w:rsidP="00000000" w:rsidRDefault="00000000" w:rsidRPr="00000000" w14:paraId="0000003A">
      <w:pPr>
        <w:rPr>
          <w:rFonts w:ascii="Arial" w:cs="Arial" w:eastAsia="Arial" w:hAnsi="Arial"/>
          <w:b w:val="1"/>
          <w:color w:val="000000"/>
        </w:rPr>
      </w:pPr>
      <w:r w:rsidDel="00000000" w:rsidR="00000000" w:rsidRPr="00000000">
        <w:rPr>
          <w:rFonts w:ascii="Arial" w:cs="Arial" w:eastAsia="Arial" w:hAnsi="Arial"/>
          <w:b w:val="1"/>
          <w:color w:val="000000"/>
          <w:rtl w:val="0"/>
        </w:rPr>
        <w:t xml:space="preserve">Withdraws</w:t>
      </w:r>
    </w:p>
    <w:p w:rsidR="00000000" w:rsidDel="00000000" w:rsidP="00000000" w:rsidRDefault="00000000" w:rsidRPr="00000000" w14:paraId="0000003B">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Withdraws is the rate at which a student withdraws from a course, with higher numbers being worse, as they indicate greater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for subgroups in Computer Science was compared to the overall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the program. One subgroup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that were significantly higher than the overall rate, suggesting this group experienced disproportionate impact in Computer Science. Aged 40-49 students and were disproportionately impacted in Computer Science during the 2023-2024 academic year. Aged 40-49 students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27 percentage points higher than the average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Computer Science.</w:t>
      </w:r>
    </w:p>
    <w:p w:rsidR="00000000" w:rsidDel="00000000" w:rsidP="00000000" w:rsidRDefault="00000000" w:rsidRPr="00000000" w14:paraId="0000003C">
      <w:pPr>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rPr>
          <w:rFonts w:ascii="Arial" w:cs="Arial" w:eastAsia="Arial" w:hAnsi="Arial"/>
          <w:color w:val="000000"/>
        </w:rPr>
      </w:pPr>
      <w:r w:rsidDel="00000000" w:rsidR="00000000" w:rsidRPr="00000000">
        <w:rPr>
          <w:rFonts w:ascii="Arial" w:cs="Arial" w:eastAsia="Arial" w:hAnsi="Arial"/>
          <w:color w:val="000000"/>
          <w:rtl w:val="0"/>
        </w:rPr>
        <w:t xml:space="preserve">Table 3.</w:t>
      </w:r>
    </w:p>
    <w:tbl>
      <w:tblPr>
        <w:tblStyle w:val="Table3"/>
        <w:tblW w:w="2779.0" w:type="dxa"/>
        <w:jc w:val="left"/>
        <w:tblLayout w:type="fixed"/>
        <w:tblLook w:val="0400"/>
      </w:tblPr>
      <w:tblGrid>
        <w:gridCol w:w="1759"/>
        <w:gridCol w:w="1020"/>
        <w:tblGridChange w:id="0">
          <w:tblGrid>
            <w:gridCol w:w="1759"/>
            <w:gridCol w:w="102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3E">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3F">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4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40-49</w:t>
            </w:r>
          </w:p>
        </w:tc>
        <w:tc>
          <w:tcPr>
            <w:tcBorders>
              <w:top w:color="000000" w:space="0" w:sz="4" w:val="single"/>
              <w:left w:color="000000" w:space="0" w:sz="4" w:val="single"/>
              <w:bottom w:color="000000" w:space="0" w:sz="8" w:val="single"/>
              <w:right w:color="000000" w:space="0" w:sz="4" w:val="single"/>
            </w:tcBorders>
            <w:shd w:fill="d9d9d9" w:val="clear"/>
            <w:vAlign w:val="bottom"/>
          </w:tcPr>
          <w:p w:rsidR="00000000" w:rsidDel="00000000" w:rsidP="00000000" w:rsidRDefault="00000000" w:rsidRPr="00000000" w14:paraId="00000041">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27%</w:t>
            </w:r>
          </w:p>
        </w:tc>
      </w:tr>
    </w:tbl>
    <w:p w:rsidR="00000000" w:rsidDel="00000000" w:rsidP="00000000" w:rsidRDefault="00000000" w:rsidRPr="00000000" w14:paraId="00000042">
      <w:pPr>
        <w:rPr>
          <w:rFonts w:ascii="Arial" w:cs="Arial" w:eastAsia="Arial" w:hAnsi="Arial"/>
          <w:b w:val="1"/>
        </w:rPr>
      </w:pPr>
      <w:r w:rsidDel="00000000" w:rsidR="00000000" w:rsidRPr="00000000">
        <w:rPr>
          <w:rtl w:val="0"/>
        </w:rPr>
      </w:r>
    </w:p>
    <w:p w:rsidR="00000000" w:rsidDel="00000000" w:rsidP="00000000" w:rsidRDefault="00000000" w:rsidRPr="00000000" w14:paraId="00000043">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EQUITY BY INSTRUCTIONAL MODALITY</w:t>
      </w:r>
    </w:p>
    <w:p w:rsidR="00000000" w:rsidDel="00000000" w:rsidP="00000000" w:rsidRDefault="00000000" w:rsidRPr="00000000" w14:paraId="00000044">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45">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Computer Science was compared to the overall success rate in Computer Science. The difference between the two rates (the gap) revealed eight subgroups may have been disproportionately impacted (see Table 1). For example, the success rate for Hispanic students in online classes for Computer Science was 17 points lower than the overall success rate in Computer Science during the 2023-2024 academic year.</w:t>
      </w:r>
    </w:p>
    <w:p w:rsidR="00000000" w:rsidDel="00000000" w:rsidP="00000000" w:rsidRDefault="00000000" w:rsidRPr="00000000" w14:paraId="00000046">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tbl>
      <w:tblPr>
        <w:tblStyle w:val="Table4"/>
        <w:tblW w:w="7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1215"/>
        <w:gridCol w:w="1680"/>
        <w:gridCol w:w="1215"/>
        <w:gridCol w:w="1200"/>
        <w:tblGridChange w:id="0">
          <w:tblGrid>
            <w:gridCol w:w="1950"/>
            <w:gridCol w:w="1215"/>
            <w:gridCol w:w="1680"/>
            <w:gridCol w:w="1215"/>
            <w:gridCol w:w="1200"/>
          </w:tblGrid>
        </w:tblGridChange>
      </w:tblGrid>
      <w:tr>
        <w:trPr>
          <w:cantSplit w:val="0"/>
          <w:trHeight w:val="570" w:hRule="atLeast"/>
          <w:tblHeader w:val="0"/>
        </w:trPr>
        <w:tc>
          <w:tcPr>
            <w:tcBorders>
              <w:top w:color="000000" w:space="0" w:sz="7" w:val="single"/>
              <w:left w:color="000000" w:space="0" w:sz="7" w:val="single"/>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7">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SubGroup</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8">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ONLINE</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9">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FACE TO FACE</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A">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HYBRID</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B">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SYNC</w:t>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C">
            <w:pPr>
              <w:spacing w:after="0" w:before="240" w:line="276" w:lineRule="auto"/>
              <w:rPr>
                <w:rFonts w:ascii="Arial" w:cs="Arial" w:eastAsia="Arial" w:hAnsi="Arial"/>
              </w:rPr>
            </w:pPr>
            <w:r w:rsidDel="00000000" w:rsidR="00000000" w:rsidRPr="00000000">
              <w:rPr>
                <w:rFonts w:ascii="Arial" w:cs="Arial" w:eastAsia="Arial" w:hAnsi="Arial"/>
                <w:rtl w:val="0"/>
              </w:rPr>
              <w:t xml:space="preserve">Hispanic</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D">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E">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F">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0">
            <w:pPr>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1">
            <w:pPr>
              <w:spacing w:after="0" w:before="240" w:line="276" w:lineRule="auto"/>
              <w:rPr>
                <w:rFonts w:ascii="Arial" w:cs="Arial" w:eastAsia="Arial" w:hAnsi="Arial"/>
              </w:rPr>
            </w:pPr>
            <w:r w:rsidDel="00000000" w:rsidR="00000000" w:rsidRPr="00000000">
              <w:rPr>
                <w:rFonts w:ascii="Arial" w:cs="Arial" w:eastAsia="Arial" w:hAnsi="Arial"/>
                <w:rtl w:val="0"/>
              </w:rPr>
              <w:t xml:space="preserve">23-28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2">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3">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-17%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4">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5">
            <w:pPr>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6">
            <w:pPr>
              <w:spacing w:after="0" w:before="240" w:line="276" w:lineRule="auto"/>
              <w:rPr>
                <w:rFonts w:ascii="Arial" w:cs="Arial" w:eastAsia="Arial" w:hAnsi="Arial"/>
              </w:rPr>
            </w:pPr>
            <w:r w:rsidDel="00000000" w:rsidR="00000000" w:rsidRPr="00000000">
              <w:rPr>
                <w:rFonts w:ascii="Arial" w:cs="Arial" w:eastAsia="Arial" w:hAnsi="Arial"/>
                <w:rtl w:val="0"/>
              </w:rPr>
              <w:t xml:space="preserve">Hispanic</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7">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-17%</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9">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A">
            <w:pPr>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B">
            <w:pPr>
              <w:spacing w:after="0" w:before="240" w:line="276" w:lineRule="auto"/>
              <w:rPr>
                <w:rFonts w:ascii="Arial" w:cs="Arial" w:eastAsia="Arial" w:hAnsi="Arial"/>
              </w:rPr>
            </w:pPr>
            <w:r w:rsidDel="00000000" w:rsidR="00000000" w:rsidRPr="00000000">
              <w:rPr>
                <w:rFonts w:ascii="Arial" w:cs="Arial" w:eastAsia="Arial" w:hAnsi="Arial"/>
                <w:rtl w:val="0"/>
              </w:rPr>
              <w:t xml:space="preserve">Hispanic - Male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C">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-20%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D">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E">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F">
            <w:pPr>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0">
            <w:pPr>
              <w:spacing w:after="0" w:before="240" w:line="276" w:lineRule="auto"/>
              <w:rPr>
                <w:rFonts w:ascii="Arial" w:cs="Arial" w:eastAsia="Arial" w:hAnsi="Arial"/>
              </w:rPr>
            </w:pPr>
            <w:r w:rsidDel="00000000" w:rsidR="00000000" w:rsidRPr="00000000">
              <w:rPr>
                <w:rFonts w:ascii="Arial" w:cs="Arial" w:eastAsia="Arial" w:hAnsi="Arial"/>
                <w:rtl w:val="0"/>
              </w:rPr>
              <w:t xml:space="preserve">29-39</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1">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2">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3">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4">
            <w:pPr>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5">
            <w:pPr>
              <w:spacing w:after="0" w:before="240" w:line="276" w:lineRule="auto"/>
              <w:rPr>
                <w:rFonts w:ascii="Arial" w:cs="Arial" w:eastAsia="Arial" w:hAnsi="Arial"/>
              </w:rPr>
            </w:pPr>
            <w:r w:rsidDel="00000000" w:rsidR="00000000" w:rsidRPr="00000000">
              <w:rPr>
                <w:rFonts w:ascii="Arial" w:cs="Arial" w:eastAsia="Arial" w:hAnsi="Arial"/>
                <w:rtl w:val="0"/>
              </w:rPr>
              <w:t xml:space="preserve">Disabled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6">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-35%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7">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8">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A">
            <w:pPr>
              <w:spacing w:after="0" w:before="240" w:line="276" w:lineRule="auto"/>
              <w:rPr>
                <w:rFonts w:ascii="Arial" w:cs="Arial" w:eastAsia="Arial" w:hAnsi="Arial"/>
              </w:rPr>
            </w:pPr>
            <w:r w:rsidDel="00000000" w:rsidR="00000000" w:rsidRPr="00000000">
              <w:rPr>
                <w:rFonts w:ascii="Arial" w:cs="Arial" w:eastAsia="Arial" w:hAnsi="Arial"/>
                <w:rtl w:val="0"/>
              </w:rPr>
              <w:t xml:space="preserve">First Generation</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B">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C">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D">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6E">
            <w:pPr>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6F">
            <w:pPr>
              <w:spacing w:after="0" w:before="240" w:line="276" w:lineRule="auto"/>
              <w:rPr>
                <w:rFonts w:ascii="Arial" w:cs="Arial" w:eastAsia="Arial" w:hAnsi="Arial"/>
              </w:rPr>
            </w:pPr>
            <w:r w:rsidDel="00000000" w:rsidR="00000000" w:rsidRPr="00000000">
              <w:rPr>
                <w:rFonts w:ascii="Arial" w:cs="Arial" w:eastAsia="Arial" w:hAnsi="Arial"/>
                <w:rtl w:val="0"/>
              </w:rPr>
              <w:t xml:space="preserve">Full-Time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0">
            <w:pPr>
              <w:spacing w:after="0" w:before="240" w:line="276" w:lineRule="auto"/>
              <w:jc w:val="right"/>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1">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2">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73">
            <w:pPr>
              <w:rPr>
                <w:rFonts w:ascii="Arial" w:cs="Arial" w:eastAsia="Arial" w:hAnsi="Arial"/>
              </w:rPr>
            </w:pPr>
            <w:r w:rsidDel="00000000" w:rsidR="00000000" w:rsidRPr="00000000">
              <w:rPr>
                <w:rtl w:val="0"/>
              </w:rPr>
            </w:r>
          </w:p>
        </w:tc>
      </w:tr>
    </w:tbl>
    <w:p w:rsidR="00000000" w:rsidDel="00000000" w:rsidP="00000000" w:rsidRDefault="00000000" w:rsidRPr="00000000" w14:paraId="00000074">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5">
      <w:pP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77">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78">
      <w:pPr>
        <w:rPr>
          <w:rFonts w:ascii="Arial" w:cs="Arial" w:eastAsia="Arial" w:hAnsi="Arial"/>
          <w:color w:val="000000"/>
        </w:rPr>
      </w:pPr>
      <w:r w:rsidDel="00000000" w:rsidR="00000000" w:rsidRPr="00000000">
        <w:rPr>
          <w:rFonts w:ascii="Times New Roman" w:cs="Times New Roman" w:eastAsia="Times New Roman" w:hAnsi="Times New Roman"/>
          <w:b w:val="1"/>
          <w:rtl w:val="0"/>
        </w:rPr>
        <w:br w:type="textWrapping"/>
      </w:r>
      <w:r w:rsidDel="00000000" w:rsidR="00000000" w:rsidRPr="00000000">
        <w:rPr>
          <w:rFonts w:ascii="Arial" w:cs="Arial" w:eastAsia="Arial" w:hAnsi="Arial"/>
          <w:color w:val="000000"/>
        </w:rPr>
        <w:drawing>
          <wp:inline distB="0" distT="0" distL="0" distR="0">
            <wp:extent cx="3613783" cy="4595604"/>
            <wp:effectExtent b="0" l="0" r="0" t="0"/>
            <wp:docPr descr="A graph with numbers and lines&#10;&#10;Description automatically generated" id="2135855004" name="image2.png"/>
            <a:graphic>
              <a:graphicData uri="http://schemas.openxmlformats.org/drawingml/2006/picture">
                <pic:pic>
                  <pic:nvPicPr>
                    <pic:cNvPr descr="A graph with numbers and lines&#10;&#10;Description automatically generated" id="0" name="image2.png"/>
                    <pic:cNvPicPr preferRelativeResize="0"/>
                  </pic:nvPicPr>
                  <pic:blipFill>
                    <a:blip r:embed="rId16"/>
                    <a:srcRect b="0" l="0" r="0" t="0"/>
                    <a:stretch>
                      <a:fillRect/>
                    </a:stretch>
                  </pic:blipFill>
                  <pic:spPr>
                    <a:xfrm>
                      <a:off x="0" y="0"/>
                      <a:ext cx="3613783" cy="4595604"/>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rPr/>
      </w:pPr>
      <w:r w:rsidDel="00000000" w:rsidR="00000000" w:rsidRPr="00000000">
        <w:rPr>
          <w:rFonts w:ascii="Arial" w:cs="Arial" w:eastAsia="Arial" w:hAnsi="Arial"/>
          <w:color w:val="000000"/>
          <w:rtl w:val="0"/>
        </w:rPr>
        <w:t xml:space="preserve">The success rate for in person classes appears to have no consistent trend for Computer Science. However, the success rate fluctuates between 63% to 76%. Success rates for online classes were consistently below the rates for in person classes. That was until it hit a consistent uprise past 2020-2021 from 57% to 67% in 2023-2024 where it exceeded in person classes by 2 %. There is limited data for Synchronous classes, but it appears that success rates dipped from 63% to 55% from 2021-20222 to 2022-2023 and then jumped significantly to 90% in 2023-2024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3611D4"/>
  </w:style>
  <w:style w:type="paragraph" w:styleId="Heading1">
    <w:name w:val="heading 1"/>
    <w:basedOn w:val="Normal"/>
    <w:next w:val="Normal"/>
    <w:link w:val="Heading1Char"/>
    <w:uiPriority w:val="9"/>
    <w:qFormat w:val="1"/>
    <w:rsid w:val="00BE5D88"/>
    <w:pPr>
      <w:keepNext w:val="1"/>
      <w:keepLines w:val="1"/>
      <w:spacing w:after="80" w:before="360"/>
      <w:outlineLvl w:val="0"/>
    </w:pPr>
    <w:rPr>
      <w:rFonts w:asciiTheme="majorHAnsi" w:cstheme="majorBidi" w:eastAsiaTheme="majorEastAsia" w:hAnsiTheme="majorHAnsi"/>
      <w:color w:val="0f4761" w:themeColor="accent1" w:themeShade="0000BF"/>
      <w:kern w:val="2"/>
      <w:sz w:val="40"/>
      <w:szCs w:val="40"/>
    </w:rPr>
  </w:style>
  <w:style w:type="paragraph" w:styleId="Heading2">
    <w:name w:val="heading 2"/>
    <w:basedOn w:val="Normal"/>
    <w:next w:val="Normal"/>
    <w:link w:val="Heading2Char"/>
    <w:uiPriority w:val="9"/>
    <w:semiHidden w:val="1"/>
    <w:unhideWhenUsed w:val="1"/>
    <w:qFormat w:val="1"/>
    <w:rsid w:val="00BE5D88"/>
    <w:pPr>
      <w:keepNext w:val="1"/>
      <w:keepLines w:val="1"/>
      <w:spacing w:after="80" w:before="160"/>
      <w:outlineLvl w:val="1"/>
    </w:pPr>
    <w:rPr>
      <w:rFonts w:asciiTheme="majorHAnsi" w:cstheme="majorBidi" w:eastAsiaTheme="majorEastAsia" w:hAnsiTheme="majorHAnsi"/>
      <w:color w:val="0f4761" w:themeColor="accent1" w:themeShade="0000BF"/>
      <w:kern w:val="2"/>
      <w:sz w:val="32"/>
      <w:szCs w:val="32"/>
    </w:rPr>
  </w:style>
  <w:style w:type="paragraph" w:styleId="Heading3">
    <w:name w:val="heading 3"/>
    <w:basedOn w:val="Normal"/>
    <w:next w:val="Normal"/>
    <w:link w:val="Heading3Char"/>
    <w:uiPriority w:val="9"/>
    <w:semiHidden w:val="1"/>
    <w:unhideWhenUsed w:val="1"/>
    <w:qFormat w:val="1"/>
    <w:rsid w:val="00BE5D88"/>
    <w:pPr>
      <w:keepNext w:val="1"/>
      <w:keepLines w:val="1"/>
      <w:spacing w:after="80" w:before="160"/>
      <w:outlineLvl w:val="2"/>
    </w:pPr>
    <w:rPr>
      <w:rFonts w:cstheme="majorBidi" w:eastAsiaTheme="majorEastAsia"/>
      <w:color w:val="0f4761" w:themeColor="accent1" w:themeShade="0000BF"/>
      <w:kern w:val="2"/>
      <w:sz w:val="28"/>
      <w:szCs w:val="28"/>
    </w:rPr>
  </w:style>
  <w:style w:type="paragraph" w:styleId="Heading4">
    <w:name w:val="heading 4"/>
    <w:basedOn w:val="Normal"/>
    <w:next w:val="Normal"/>
    <w:link w:val="Heading4Char"/>
    <w:uiPriority w:val="9"/>
    <w:semiHidden w:val="1"/>
    <w:unhideWhenUsed w:val="1"/>
    <w:qFormat w:val="1"/>
    <w:rsid w:val="00BE5D88"/>
    <w:pPr>
      <w:keepNext w:val="1"/>
      <w:keepLines w:val="1"/>
      <w:spacing w:after="40" w:before="80"/>
      <w:outlineLvl w:val="3"/>
    </w:pPr>
    <w:rPr>
      <w:rFonts w:cstheme="majorBidi" w:eastAsiaTheme="majorEastAsia"/>
      <w:i w:val="1"/>
      <w:iCs w:val="1"/>
      <w:color w:val="0f4761" w:themeColor="accent1" w:themeShade="0000BF"/>
      <w:kern w:val="2"/>
    </w:rPr>
  </w:style>
  <w:style w:type="paragraph" w:styleId="Heading5">
    <w:name w:val="heading 5"/>
    <w:basedOn w:val="Normal"/>
    <w:next w:val="Normal"/>
    <w:link w:val="Heading5Char"/>
    <w:uiPriority w:val="9"/>
    <w:semiHidden w:val="1"/>
    <w:unhideWhenUsed w:val="1"/>
    <w:qFormat w:val="1"/>
    <w:rsid w:val="00BE5D88"/>
    <w:pPr>
      <w:keepNext w:val="1"/>
      <w:keepLines w:val="1"/>
      <w:spacing w:after="40" w:before="80"/>
      <w:outlineLvl w:val="4"/>
    </w:pPr>
    <w:rPr>
      <w:rFonts w:cstheme="majorBidi" w:eastAsiaTheme="majorEastAsia"/>
      <w:color w:val="0f4761" w:themeColor="accent1" w:themeShade="0000BF"/>
      <w:kern w:val="2"/>
    </w:rPr>
  </w:style>
  <w:style w:type="paragraph" w:styleId="Heading6">
    <w:name w:val="heading 6"/>
    <w:basedOn w:val="Normal"/>
    <w:next w:val="Normal"/>
    <w:link w:val="Heading6Char"/>
    <w:uiPriority w:val="9"/>
    <w:semiHidden w:val="1"/>
    <w:unhideWhenUsed w:val="1"/>
    <w:qFormat w:val="1"/>
    <w:rsid w:val="00BE5D88"/>
    <w:pPr>
      <w:keepNext w:val="1"/>
      <w:keepLines w:val="1"/>
      <w:spacing w:after="0" w:before="40"/>
      <w:outlineLvl w:val="5"/>
    </w:pPr>
    <w:rPr>
      <w:rFonts w:cstheme="majorBidi" w:eastAsiaTheme="majorEastAsia"/>
      <w:i w:val="1"/>
      <w:iCs w:val="1"/>
      <w:color w:val="595959" w:themeColor="text1" w:themeTint="0000A6"/>
      <w:kern w:val="2"/>
    </w:rPr>
  </w:style>
  <w:style w:type="paragraph" w:styleId="Heading7">
    <w:name w:val="heading 7"/>
    <w:basedOn w:val="Normal"/>
    <w:next w:val="Normal"/>
    <w:link w:val="Heading7Char"/>
    <w:uiPriority w:val="9"/>
    <w:semiHidden w:val="1"/>
    <w:unhideWhenUsed w:val="1"/>
    <w:qFormat w:val="1"/>
    <w:rsid w:val="00BE5D88"/>
    <w:pPr>
      <w:keepNext w:val="1"/>
      <w:keepLines w:val="1"/>
      <w:spacing w:after="0" w:before="40"/>
      <w:outlineLvl w:val="6"/>
    </w:pPr>
    <w:rPr>
      <w:rFonts w:cstheme="majorBidi" w:eastAsiaTheme="majorEastAsia"/>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BE5D88"/>
    <w:pPr>
      <w:keepNext w:val="1"/>
      <w:keepLines w:val="1"/>
      <w:spacing w:after="0"/>
      <w:outlineLvl w:val="7"/>
    </w:pPr>
    <w:rPr>
      <w:rFonts w:cstheme="majorBidi" w:eastAsiaTheme="majorEastAsia"/>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BE5D88"/>
    <w:pPr>
      <w:keepNext w:val="1"/>
      <w:keepLines w:val="1"/>
      <w:spacing w:after="0"/>
      <w:outlineLvl w:val="8"/>
    </w:pPr>
    <w:rPr>
      <w:rFonts w:cstheme="majorBidi" w:eastAsiaTheme="majorEastAsia"/>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E5D88"/>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BE5D8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E5D8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E5D8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E5D8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E5D8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E5D8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5D8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5D8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5D8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E5D88"/>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BE5D8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5D88"/>
    <w:pPr>
      <w:spacing w:before="160"/>
      <w:jc w:val="center"/>
    </w:pPr>
    <w:rPr>
      <w:i w:val="1"/>
      <w:iCs w:val="1"/>
      <w:color w:val="404040" w:themeColor="text1" w:themeTint="0000BF"/>
      <w:kern w:val="2"/>
    </w:rPr>
  </w:style>
  <w:style w:type="character" w:styleId="QuoteChar" w:customStyle="1">
    <w:name w:val="Quote Char"/>
    <w:basedOn w:val="DefaultParagraphFont"/>
    <w:link w:val="Quote"/>
    <w:uiPriority w:val="29"/>
    <w:rsid w:val="00BE5D88"/>
    <w:rPr>
      <w:i w:val="1"/>
      <w:iCs w:val="1"/>
      <w:color w:val="404040" w:themeColor="text1" w:themeTint="0000BF"/>
    </w:rPr>
  </w:style>
  <w:style w:type="paragraph" w:styleId="ListParagraph">
    <w:name w:val="List Paragraph"/>
    <w:basedOn w:val="Normal"/>
    <w:uiPriority w:val="34"/>
    <w:qFormat w:val="1"/>
    <w:rsid w:val="00BE5D88"/>
    <w:pPr>
      <w:ind w:left="720"/>
      <w:contextualSpacing w:val="1"/>
    </w:pPr>
    <w:rPr>
      <w:kern w:val="2"/>
    </w:rPr>
  </w:style>
  <w:style w:type="character" w:styleId="IntenseEmphasis">
    <w:name w:val="Intense Emphasis"/>
    <w:basedOn w:val="DefaultParagraphFont"/>
    <w:uiPriority w:val="21"/>
    <w:qFormat w:val="1"/>
    <w:rsid w:val="00BE5D88"/>
    <w:rPr>
      <w:i w:val="1"/>
      <w:iCs w:val="1"/>
      <w:color w:val="0f4761" w:themeColor="accent1" w:themeShade="0000BF"/>
    </w:rPr>
  </w:style>
  <w:style w:type="paragraph" w:styleId="IntenseQuote">
    <w:name w:val="Intense Quote"/>
    <w:basedOn w:val="Normal"/>
    <w:next w:val="Normal"/>
    <w:link w:val="IntenseQuoteChar"/>
    <w:uiPriority w:val="30"/>
    <w:qFormat w:val="1"/>
    <w:rsid w:val="00BE5D8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kern w:val="2"/>
    </w:rPr>
  </w:style>
  <w:style w:type="character" w:styleId="IntenseQuoteChar" w:customStyle="1">
    <w:name w:val="Intense Quote Char"/>
    <w:basedOn w:val="DefaultParagraphFont"/>
    <w:link w:val="IntenseQuote"/>
    <w:uiPriority w:val="30"/>
    <w:rsid w:val="00BE5D88"/>
    <w:rPr>
      <w:i w:val="1"/>
      <w:iCs w:val="1"/>
      <w:color w:val="0f4761" w:themeColor="accent1" w:themeShade="0000BF"/>
    </w:rPr>
  </w:style>
  <w:style w:type="character" w:styleId="IntenseReference">
    <w:name w:val="Intense Reference"/>
    <w:basedOn w:val="DefaultParagraphFont"/>
    <w:uiPriority w:val="32"/>
    <w:qFormat w:val="1"/>
    <w:rsid w:val="00BE5D88"/>
    <w:rPr>
      <w:b w:val="1"/>
      <w:bCs w:val="1"/>
      <w:smallCaps w:val="1"/>
      <w:color w:val="0f4761" w:themeColor="accent1" w:themeShade="0000BF"/>
      <w:spacing w:val="5"/>
    </w:rPr>
  </w:style>
  <w:style w:type="character" w:styleId="Hyperlink">
    <w:name w:val="Hyperlink"/>
    <w:basedOn w:val="DefaultParagraphFont"/>
    <w:uiPriority w:val="99"/>
    <w:unhideWhenUsed w:val="1"/>
    <w:rsid w:val="00440945"/>
    <w:rPr>
      <w:color w:val="0000ff"/>
      <w:u w:val="single"/>
    </w:rPr>
  </w:style>
  <w:style w:type="paragraph" w:styleId="FootnoteText">
    <w:name w:val="footnote text"/>
    <w:basedOn w:val="Normal"/>
    <w:link w:val="FootnoteTextChar"/>
    <w:uiPriority w:val="99"/>
    <w:semiHidden w:val="1"/>
    <w:unhideWhenUsed w:val="1"/>
    <w:rsid w:val="007570EC"/>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570EC"/>
    <w:rPr>
      <w:kern w:val="0"/>
      <w:sz w:val="20"/>
      <w:szCs w:val="20"/>
    </w:rPr>
  </w:style>
  <w:style w:type="character" w:styleId="FootnoteReference">
    <w:name w:val="footnote reference"/>
    <w:basedOn w:val="DefaultParagraphFont"/>
    <w:uiPriority w:val="99"/>
    <w:semiHidden w:val="1"/>
    <w:unhideWhenUsed w:val="1"/>
    <w:rsid w:val="007570EC"/>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hyperlink" Target="https://canadacollege.edu/prie/data-dashboards.php"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chart" Target="charts/chart1.xml"/><Relationship Id="rId14" Type="http://schemas.openxmlformats.org/officeDocument/2006/relationships/image" Target="media/image6.png"/><Relationship Id="rId16"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computer_science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COURSE'!$R$2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COURSE'!$Q$3:$Q$13</c:f>
              <c:strCache>
                <c:ptCount val="11"/>
                <c:pt idx="0">
                  <c:v>CIS-118</c:v>
                </c:pt>
                <c:pt idx="1">
                  <c:v>CIS-122</c:v>
                </c:pt>
                <c:pt idx="2">
                  <c:v>CIS-242</c:v>
                </c:pt>
                <c:pt idx="3">
                  <c:v>CIS-250</c:v>
                </c:pt>
                <c:pt idx="4">
                  <c:v>CIS-252</c:v>
                </c:pt>
                <c:pt idx="5">
                  <c:v>CIS-262</c:v>
                </c:pt>
                <c:pt idx="6">
                  <c:v>CIS-284</c:v>
                </c:pt>
                <c:pt idx="7">
                  <c:v>CIS-286</c:v>
                </c:pt>
                <c:pt idx="8">
                  <c:v>CIS-295</c:v>
                </c:pt>
                <c:pt idx="9">
                  <c:v>CIS-296</c:v>
                </c:pt>
                <c:pt idx="10">
                  <c:v>CIS-321</c:v>
                </c:pt>
              </c:strCache>
            </c:strRef>
          </c:cat>
          <c:val>
            <c:numRef>
              <c:f>'SUCCESS BY COURSE'!$R$3:$R$13</c:f>
              <c:numCache>
                <c:formatCode>#,##0%;\*</c:formatCode>
                <c:ptCount val="11"/>
                <c:pt idx="0">
                  <c:v>0.62293144208037798</c:v>
                </c:pt>
                <c:pt idx="1">
                  <c:v>0.50331125827814605</c:v>
                </c:pt>
                <c:pt idx="2">
                  <c:v>0.747058823529412</c:v>
                </c:pt>
                <c:pt idx="3">
                  <c:v>0.71994134897360695</c:v>
                </c:pt>
                <c:pt idx="4">
                  <c:v>0.68936170212766001</c:v>
                </c:pt>
                <c:pt idx="5">
                  <c:v>0.872</c:v>
                </c:pt>
                <c:pt idx="6">
                  <c:v>0.65492957746478897</c:v>
                </c:pt>
                <c:pt idx="7">
                  <c:v>0.78632478632478597</c:v>
                </c:pt>
                <c:pt idx="8">
                  <c:v>0.36619718309859201</c:v>
                </c:pt>
                <c:pt idx="9">
                  <c:v>0.4</c:v>
                </c:pt>
                <c:pt idx="10">
                  <c:v>0.4</c:v>
                </c:pt>
              </c:numCache>
            </c:numRef>
          </c:val>
          <c:extLst>
            <c:ext xmlns:c16="http://schemas.microsoft.com/office/drawing/2014/chart" uri="{C3380CC4-5D6E-409C-BE32-E72D297353CC}">
              <c16:uniqueId val="{00000000-E278-4566-A40C-4767D8F65E7D}"/>
            </c:ext>
          </c:extLst>
        </c:ser>
        <c:ser>
          <c:idx val="1"/>
          <c:order val="1"/>
          <c:tx>
            <c:strRef>
              <c:f>'SUCCESS BY COURSE'!$S$2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COURSE'!$Q$3:$Q$13</c:f>
              <c:strCache>
                <c:ptCount val="11"/>
                <c:pt idx="0">
                  <c:v>CIS-118</c:v>
                </c:pt>
                <c:pt idx="1">
                  <c:v>CIS-122</c:v>
                </c:pt>
                <c:pt idx="2">
                  <c:v>CIS-242</c:v>
                </c:pt>
                <c:pt idx="3">
                  <c:v>CIS-250</c:v>
                </c:pt>
                <c:pt idx="4">
                  <c:v>CIS-252</c:v>
                </c:pt>
                <c:pt idx="5">
                  <c:v>CIS-262</c:v>
                </c:pt>
                <c:pt idx="6">
                  <c:v>CIS-284</c:v>
                </c:pt>
                <c:pt idx="7">
                  <c:v>CIS-286</c:v>
                </c:pt>
                <c:pt idx="8">
                  <c:v>CIS-295</c:v>
                </c:pt>
                <c:pt idx="9">
                  <c:v>CIS-296</c:v>
                </c:pt>
                <c:pt idx="10">
                  <c:v>CIS-321</c:v>
                </c:pt>
              </c:strCache>
            </c:strRef>
          </c:cat>
          <c:val>
            <c:numRef>
              <c:f>'SUCCESS BY COURSE'!$S$3:$S$13</c:f>
              <c:numCache>
                <c:formatCode>#,##0%;\*</c:formatCode>
                <c:ptCount val="11"/>
                <c:pt idx="0">
                  <c:v>0.195035460992908</c:v>
                </c:pt>
                <c:pt idx="1">
                  <c:v>0.29139072847682101</c:v>
                </c:pt>
                <c:pt idx="2">
                  <c:v>0.158823529411765</c:v>
                </c:pt>
                <c:pt idx="3">
                  <c:v>0.16275659824046901</c:v>
                </c:pt>
                <c:pt idx="4">
                  <c:v>0.17872340425531899</c:v>
                </c:pt>
                <c:pt idx="5">
                  <c:v>6.4000000000000001E-2</c:v>
                </c:pt>
                <c:pt idx="6">
                  <c:v>0.176056338028169</c:v>
                </c:pt>
                <c:pt idx="7">
                  <c:v>0.13675213675213699</c:v>
                </c:pt>
                <c:pt idx="8">
                  <c:v>0.338028169014085</c:v>
                </c:pt>
                <c:pt idx="9">
                  <c:v>0.266666666666667</c:v>
                </c:pt>
                <c:pt idx="10">
                  <c:v>0.33333333333333298</c:v>
                </c:pt>
              </c:numCache>
            </c:numRef>
          </c:val>
          <c:extLst>
            <c:ext xmlns:c16="http://schemas.microsoft.com/office/drawing/2014/chart" uri="{C3380CC4-5D6E-409C-BE32-E72D297353CC}">
              <c16:uniqueId val="{00000001-E278-4566-A40C-4767D8F65E7D}"/>
            </c:ext>
          </c:extLst>
        </c:ser>
        <c:dLbls>
          <c:dLblPos val="outEnd"/>
          <c:showLegendKey val="0"/>
          <c:showVal val="1"/>
          <c:showCatName val="0"/>
          <c:showSerName val="0"/>
          <c:showPercent val="0"/>
          <c:showBubbleSize val="0"/>
        </c:dLbls>
        <c:gapWidth val="182"/>
        <c:axId val="416455743"/>
        <c:axId val="416455263"/>
      </c:barChart>
      <c:catAx>
        <c:axId val="416455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55263"/>
        <c:crosses val="autoZero"/>
        <c:auto val="1"/>
        <c:lblAlgn val="ctr"/>
        <c:lblOffset val="100"/>
        <c:noMultiLvlLbl val="0"/>
      </c:catAx>
      <c:valAx>
        <c:axId val="4164552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455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yhq5cjT0I/d3gj50VW7JbA4k3g==">CgMxLjAyCGguZ2pkZ3hzOAByITFQTGhEa3RIUWtXTHM3QXBxRVBtVjJLZXJ6UXlMLWNHeg==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2024-07-22T15:53:00Z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