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package.core-properties+xml" PartName="/docProps/core.xml"/>
  <Override ContentType="application/vnd.ms-office.chartcolorstyle+xml" PartName="/word/charts/colors1.xml"/>
  <Override ContentType="application/vnd.openxmlformats-officedocument.drawingml.chart+xml" PartName="/word/charts/chart1.xml"/>
  <Override ContentType="application/vnd.openxmlformats-officedocument.theme+xml" PartName="/word/theme/theme1.xml"/>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numbering+xml" PartName="/word/numbering.xml"/>
  <Override ContentType="application/vnd.ms-office.chartstyle+xml" PartName="/word/charts/style1.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Digital Art &amp; Animation and Multimedia Art (combined)</w:t>
      </w:r>
    </w:p>
    <w:p w:rsidR="00000000" w:rsidDel="00000000" w:rsidP="00000000" w:rsidRDefault="00000000" w:rsidRPr="00000000" w14:paraId="00000002">
      <w:pPr>
        <w:jc w:val="center"/>
        <w:rPr>
          <w:rFonts w:ascii="Arial" w:cs="Arial" w:eastAsia="Arial" w:hAnsi="Arial"/>
          <w:b w:val="1"/>
        </w:rPr>
      </w:pPr>
      <w:r w:rsidDel="00000000" w:rsidR="00000000" w:rsidRPr="00000000">
        <w:rPr>
          <w:rFonts w:ascii="Arial" w:cs="Arial" w:eastAsia="Arial" w:hAnsi="Arial"/>
          <w:b w:val="1"/>
          <w:rtl w:val="0"/>
        </w:rPr>
        <w:t xml:space="preserve">Comprehensive Program Review Questionnaire Data</w:t>
      </w:r>
    </w:p>
    <w:p w:rsidR="00000000" w:rsidDel="00000000" w:rsidP="00000000" w:rsidRDefault="00000000" w:rsidRPr="00000000" w14:paraId="00000003">
      <w:pPr>
        <w:jc w:val="center"/>
        <w:rPr>
          <w:rFonts w:ascii="Arial" w:cs="Arial" w:eastAsia="Arial" w:hAnsi="Arial"/>
        </w:rPr>
      </w:pPr>
      <w:bookmarkStart w:colFirst="0" w:colLast="0" w:name="_heading=h.gjdgxs" w:id="0"/>
      <w:bookmarkEnd w:id="0"/>
      <w:r w:rsidDel="00000000" w:rsidR="00000000" w:rsidRPr="00000000">
        <w:rPr>
          <w:rFonts w:ascii="Arial" w:cs="Arial" w:eastAsia="Arial" w:hAnsi="Arial"/>
          <w:u w:val="single"/>
          <w:rtl w:val="0"/>
        </w:rPr>
        <w:t xml:space="preserve">Please Note:</w:t>
      </w:r>
      <w:r w:rsidDel="00000000" w:rsidR="00000000" w:rsidRPr="00000000">
        <w:rPr>
          <w:rFonts w:ascii="Arial" w:cs="Arial" w:eastAsia="Arial" w:hAnsi="Arial"/>
          <w:rtl w:val="0"/>
        </w:rPr>
        <w:t xml:space="preserve"> Additional data on course level outcomes and program of study is available under on the </w:t>
      </w:r>
      <w:hyperlink r:id="rId8">
        <w:r w:rsidDel="00000000" w:rsidR="00000000" w:rsidRPr="00000000">
          <w:rPr>
            <w:rFonts w:ascii="Arial" w:cs="Arial" w:eastAsia="Arial" w:hAnsi="Arial"/>
            <w:color w:val="1155cc"/>
            <w:u w:val="single"/>
            <w:rtl w:val="0"/>
          </w:rPr>
          <w:t xml:space="preserve">PRIE Data Dashboard </w:t>
        </w:r>
      </w:hyperlink>
      <w:r w:rsidDel="00000000" w:rsidR="00000000" w:rsidRPr="00000000">
        <w:rPr>
          <w:rFonts w:ascii="Arial" w:cs="Arial" w:eastAsia="Arial" w:hAnsi="Arial"/>
          <w:rtl w:val="0"/>
        </w:rPr>
        <w:t xml:space="preserve">website under Digital Art and Animation</w:t>
      </w:r>
    </w:p>
    <w:p w:rsidR="00000000" w:rsidDel="00000000" w:rsidP="00000000" w:rsidRDefault="00000000" w:rsidRPr="00000000" w14:paraId="00000004">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7A. Enrollment Trends</w:t>
      </w:r>
      <w:r w:rsidDel="00000000" w:rsidR="00000000" w:rsidRPr="00000000">
        <w:rPr>
          <w:rtl w:val="0"/>
        </w:rPr>
      </w:r>
    </w:p>
    <w:p w:rsidR="00000000" w:rsidDel="00000000" w:rsidP="00000000" w:rsidRDefault="00000000" w:rsidRPr="00000000" w14:paraId="00000005">
      <w:pPr>
        <w:rPr>
          <w:rFonts w:ascii="Arial" w:cs="Arial" w:eastAsia="Arial" w:hAnsi="Arial"/>
          <w:b w:val="1"/>
          <w:color w:val="000000"/>
        </w:rPr>
      </w:pPr>
      <w:r w:rsidDel="00000000" w:rsidR="00000000" w:rsidRPr="00000000">
        <w:rPr>
          <w:rFonts w:ascii="Arial" w:cs="Arial" w:eastAsia="Arial" w:hAnsi="Arial"/>
          <w:b w:val="1"/>
          <w:color w:val="000000"/>
          <w:rtl w:val="0"/>
        </w:rPr>
        <w:t xml:space="preserve">Use the data provided by PRIE to examine your enrollments by department or courses. Describe trends in headcount, FTES, and load. If applicable, describe any other enrollment data that is relevant to your program</w:t>
      </w:r>
    </w:p>
    <w:p w:rsidR="00000000" w:rsidDel="00000000" w:rsidP="00000000" w:rsidRDefault="00000000" w:rsidRPr="00000000" w14:paraId="00000006">
      <w:pPr>
        <w:rPr/>
      </w:pPr>
      <w:r w:rsidDel="00000000" w:rsidR="00000000" w:rsidRPr="00000000">
        <w:rPr/>
        <w:drawing>
          <wp:inline distB="0" distT="0" distL="0" distR="0">
            <wp:extent cx="4173434" cy="3092176"/>
            <wp:effectExtent b="0" l="0" r="0" t="0"/>
            <wp:docPr descr="A graph with numbers and a line&#10;&#10;Description automatically generated" id="2056426667" name="image1.png"/>
            <a:graphic>
              <a:graphicData uri="http://schemas.openxmlformats.org/drawingml/2006/picture">
                <pic:pic>
                  <pic:nvPicPr>
                    <pic:cNvPr descr="A graph with numbers and a line&#10;&#10;Description automatically generated" id="0" name="image1.png"/>
                    <pic:cNvPicPr preferRelativeResize="0"/>
                  </pic:nvPicPr>
                  <pic:blipFill>
                    <a:blip r:embed="rId9"/>
                    <a:srcRect b="0" l="0" r="0" t="0"/>
                    <a:stretch>
                      <a:fillRect/>
                    </a:stretch>
                  </pic:blipFill>
                  <pic:spPr>
                    <a:xfrm>
                      <a:off x="0" y="0"/>
                      <a:ext cx="4173434" cy="3092176"/>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Overall enrollments in Digital Art &amp; Animation consistently went up year over year going from 622 in 2019-2020 to 1,175 by 2022-2023. The only exception to this sharp trend up in enrollment is the drop in 2023-2024 to 965. Headcount has remained relatively flat in the middle to upper three hundreds all five years.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drawing>
          <wp:inline distB="0" distT="0" distL="0" distR="0">
            <wp:extent cx="3889542" cy="2925469"/>
            <wp:effectExtent b="0" l="0" r="0" t="0"/>
            <wp:docPr descr="A graph with a line and numbers&#10;&#10;Description automatically generated" id="2056426669" name="image4.png"/>
            <a:graphic>
              <a:graphicData uri="http://schemas.openxmlformats.org/drawingml/2006/picture">
                <pic:pic>
                  <pic:nvPicPr>
                    <pic:cNvPr descr="A graph with a line and numbers&#10;&#10;Description automatically generated" id="0" name="image4.png"/>
                    <pic:cNvPicPr preferRelativeResize="0"/>
                  </pic:nvPicPr>
                  <pic:blipFill>
                    <a:blip r:embed="rId10"/>
                    <a:srcRect b="0" l="0" r="0" t="0"/>
                    <a:stretch>
                      <a:fillRect/>
                    </a:stretch>
                  </pic:blipFill>
                  <pic:spPr>
                    <a:xfrm>
                      <a:off x="0" y="0"/>
                      <a:ext cx="3889542" cy="2925469"/>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Section count has remained mostly flat at 36 all five years. The only noteworthy change is going from 36 to 40 in 2023-2024 from the year prior.</w:t>
      </w:r>
    </w:p>
    <w:p w:rsidR="00000000" w:rsidDel="00000000" w:rsidP="00000000" w:rsidRDefault="00000000" w:rsidRPr="00000000" w14:paraId="0000000B">
      <w:pPr>
        <w:rPr/>
      </w:pPr>
      <w:r w:rsidDel="00000000" w:rsidR="00000000" w:rsidRPr="00000000">
        <w:rPr/>
        <w:drawing>
          <wp:inline distB="0" distT="0" distL="0" distR="0">
            <wp:extent cx="4124065" cy="3216418"/>
            <wp:effectExtent b="0" l="0" r="0" t="0"/>
            <wp:docPr descr="A graph with numbers and a line&#10;&#10;Description automatically generated" id="2056426668" name="image5.png"/>
            <a:graphic>
              <a:graphicData uri="http://schemas.openxmlformats.org/drawingml/2006/picture">
                <pic:pic>
                  <pic:nvPicPr>
                    <pic:cNvPr descr="A graph with numbers and a line&#10;&#10;Description automatically generated" id="0" name="image5.png"/>
                    <pic:cNvPicPr preferRelativeResize="0"/>
                  </pic:nvPicPr>
                  <pic:blipFill>
                    <a:blip r:embed="rId11"/>
                    <a:srcRect b="0" l="0" r="0" t="0"/>
                    <a:stretch>
                      <a:fillRect/>
                    </a:stretch>
                  </pic:blipFill>
                  <pic:spPr>
                    <a:xfrm>
                      <a:off x="0" y="0"/>
                      <a:ext cx="4124065" cy="3216418"/>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FTEF increased from 7 to 9 between 2020-2021 and 2022-2023. Otherwise it has remained flat. FTEF very roughly followed the enrollment trend. FTES has also generally followed the enrollment trend. FTES had a substantial increase from 61.3 in 2020-2021 to 114.2 in 2022-2023. It then declined to 93.8 in 2023-22024.</w:t>
      </w:r>
    </w:p>
    <w:p w:rsidR="00000000" w:rsidDel="00000000" w:rsidP="00000000" w:rsidRDefault="00000000" w:rsidRPr="00000000" w14:paraId="0000000D">
      <w:pPr>
        <w:rPr/>
      </w:pPr>
      <w:r w:rsidDel="00000000" w:rsidR="00000000" w:rsidRPr="00000000">
        <w:rPr/>
        <w:drawing>
          <wp:inline distB="0" distT="0" distL="0" distR="0">
            <wp:extent cx="4124753" cy="3029226"/>
            <wp:effectExtent b="0" l="0" r="0" t="0"/>
            <wp:docPr descr="A graph with a line and a line&#10;&#10;Description automatically generated" id="2056426671" name="image3.png"/>
            <a:graphic>
              <a:graphicData uri="http://schemas.openxmlformats.org/drawingml/2006/picture">
                <pic:pic>
                  <pic:nvPicPr>
                    <pic:cNvPr descr="A graph with a line and a line&#10;&#10;Description automatically generated" id="0" name="image3.png"/>
                    <pic:cNvPicPr preferRelativeResize="0"/>
                  </pic:nvPicPr>
                  <pic:blipFill>
                    <a:blip r:embed="rId12"/>
                    <a:srcRect b="0" l="0" r="0" t="0"/>
                    <a:stretch>
                      <a:fillRect/>
                    </a:stretch>
                  </pic:blipFill>
                  <pic:spPr>
                    <a:xfrm>
                      <a:off x="0" y="0"/>
                      <a:ext cx="4124753" cy="3029226"/>
                    </a:xfrm>
                    <a:prstGeom prst="rect"/>
                    <a:ln/>
                  </pic:spPr>
                </pic:pic>
              </a:graphicData>
            </a:graphic>
          </wp:inline>
        </w:drawing>
      </w: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Load has increased consistently with the exception of 2021-2022 going from 272 the year prior to 243. Load went from 232 in 2019-2020 to 274 in 2023-2024.</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8A. Access &amp; Completion</w:t>
      </w:r>
      <w:r w:rsidDel="00000000" w:rsidR="00000000" w:rsidRPr="00000000">
        <w:rPr>
          <w:rtl w:val="0"/>
        </w:rPr>
      </w:r>
    </w:p>
    <w:p w:rsidR="00000000" w:rsidDel="00000000" w:rsidP="00000000" w:rsidRDefault="00000000" w:rsidRPr="00000000" w14:paraId="00000011">
      <w:pP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Describe the student completion and success rate in your courses and/or program using the data provided by PRIE. Look at your course offerings, in the last program review cycle was it possible for a student to complete your certificates or degrees while only completing courses at Cañada College? How can the college help you improve student completion and success? What changes could be made?</w:t>
      </w:r>
    </w:p>
    <w:p w:rsidR="00000000" w:rsidDel="00000000" w:rsidP="00000000" w:rsidRDefault="00000000" w:rsidRPr="00000000" w14:paraId="00000012">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u w:val="single"/>
          <w:rtl w:val="0"/>
        </w:rPr>
        <w:t xml:space="preserve">Note</w:t>
      </w:r>
      <w:r w:rsidDel="00000000" w:rsidR="00000000" w:rsidRPr="00000000">
        <w:rPr>
          <w:rFonts w:ascii="Arial" w:cs="Arial" w:eastAsia="Arial" w:hAnsi="Arial"/>
          <w:rtl w:val="0"/>
        </w:rPr>
        <w:t xml:space="preserve">: See the </w:t>
      </w:r>
      <w:r w:rsidDel="00000000" w:rsidR="00000000" w:rsidRPr="00000000">
        <w:rPr>
          <w:rFonts w:ascii="Arial" w:cs="Arial" w:eastAsia="Arial" w:hAnsi="Arial"/>
          <w:i w:val="1"/>
          <w:rtl w:val="0"/>
        </w:rPr>
        <w:t xml:space="preserve">Course Enrollment &amp; Success Detail Report </w:t>
      </w:r>
      <w:r w:rsidDel="00000000" w:rsidR="00000000" w:rsidRPr="00000000">
        <w:rPr>
          <w:rFonts w:ascii="Arial" w:cs="Arial" w:eastAsia="Arial" w:hAnsi="Arial"/>
          <w:rtl w:val="0"/>
        </w:rPr>
        <w:t xml:space="preserve">for additional course-level data. This report can be found on</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rtl w:val="0"/>
        </w:rPr>
        <w:t xml:space="preserve">PRIE’s </w:t>
      </w:r>
      <w:hyperlink r:id="rId13">
        <w:r w:rsidDel="00000000" w:rsidR="00000000" w:rsidRPr="00000000">
          <w:rPr>
            <w:rFonts w:ascii="Arial" w:cs="Arial" w:eastAsia="Arial" w:hAnsi="Arial"/>
            <w:color w:val="0000ff"/>
            <w:u w:val="single"/>
            <w:rtl w:val="0"/>
          </w:rPr>
          <w:t xml:space="preserve">Data Dashboards &amp; Packets</w:t>
        </w:r>
      </w:hyperlink>
      <w:r w:rsidDel="00000000" w:rsidR="00000000" w:rsidRPr="00000000">
        <w:rPr>
          <w:rFonts w:ascii="Arial" w:cs="Arial" w:eastAsia="Arial" w:hAnsi="Arial"/>
          <w:rtl w:val="0"/>
        </w:rPr>
        <w:t xml:space="preserve"> page under the program name.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drawing>
          <wp:inline distB="0" distT="0" distL="0" distR="0">
            <wp:extent cx="4148138" cy="4969651"/>
            <wp:effectExtent b="0" l="0" r="0" t="0"/>
            <wp:docPr descr="A graph with blue and orange lines&#10;&#10;Description automatically generated" id="2056426670" name="image6.png"/>
            <a:graphic>
              <a:graphicData uri="http://schemas.openxmlformats.org/drawingml/2006/picture">
                <pic:pic>
                  <pic:nvPicPr>
                    <pic:cNvPr descr="A graph with blue and orange lines&#10;&#10;Description automatically generated" id="0" name="image6.png"/>
                    <pic:cNvPicPr preferRelativeResize="0"/>
                  </pic:nvPicPr>
                  <pic:blipFill>
                    <a:blip r:embed="rId14"/>
                    <a:srcRect b="0" l="0" r="0" t="0"/>
                    <a:stretch>
                      <a:fillRect/>
                    </a:stretch>
                  </pic:blipFill>
                  <pic:spPr>
                    <a:xfrm>
                      <a:off x="0" y="0"/>
                      <a:ext cx="4148138" cy="4969651"/>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overall success rate rose from 64% in 2019-2020 to 72% in 2021-2022. Success rates then declined to 69% in 2022-2023 and stayed there in the 2023-2024 academic year.</w:t>
      </w:r>
    </w:p>
    <w:p w:rsidR="00000000" w:rsidDel="00000000" w:rsidP="00000000" w:rsidRDefault="00000000" w:rsidRPr="00000000" w14:paraId="00000017">
      <w:pPr>
        <w:rPr/>
      </w:pPr>
      <w:r w:rsidDel="00000000" w:rsidR="00000000" w:rsidRPr="00000000">
        <w:rPr/>
        <w:drawing>
          <wp:inline distB="0" distT="0" distL="0" distR="0">
            <wp:extent cx="5943600" cy="8358188"/>
            <wp:docPr id="2056426665" name=""/>
            <a:graphic>
              <a:graphicData uri="http://schemas.openxmlformats.org/drawingml/2006/chart">
                <c:chart r:id="rId15"/>
              </a:graphicData>
            </a:graphic>
          </wp:inline>
        </w:drawing>
      </w:r>
      <w:r w:rsidDel="00000000" w:rsidR="00000000" w:rsidRPr="00000000">
        <w:rPr>
          <w:rtl w:val="0"/>
        </w:rPr>
      </w:r>
    </w:p>
    <w:p w:rsidR="00000000" w:rsidDel="00000000" w:rsidP="00000000" w:rsidRDefault="00000000" w:rsidRPr="00000000" w14:paraId="00000018">
      <w:pPr>
        <w:spacing w:after="0" w:lineRule="auto"/>
        <w:rPr>
          <w:color w:val="000000"/>
        </w:rPr>
      </w:pPr>
      <w:r w:rsidDel="00000000" w:rsidR="00000000" w:rsidRPr="00000000">
        <w:rPr>
          <w:color w:val="000000"/>
          <w:rtl w:val="0"/>
        </w:rPr>
        <w:t xml:space="preserve">Digital Art &amp; Animation had the smallest withdrawal rate of 0% in MART-680CL and MART-451 with a maximum withdrawal rate of 25% in MART-441. MART-680CL and MART-451 had a maximum success rate of 100% while  MART 432 had a minimum success rate of 43%.</w:t>
      </w:r>
    </w:p>
    <w:p w:rsidR="00000000" w:rsidDel="00000000" w:rsidP="00000000" w:rsidRDefault="00000000" w:rsidRPr="00000000" w14:paraId="00000019">
      <w:pPr>
        <w:spacing w:after="0" w:lineRule="auto"/>
        <w:rPr>
          <w:rFonts w:ascii="Arial" w:cs="Arial" w:eastAsia="Arial" w:hAnsi="Arial"/>
          <w:b w:val="1"/>
          <w:color w:val="000000"/>
          <w:u w:val="single"/>
        </w:rPr>
      </w:pPr>
      <w:r w:rsidDel="00000000" w:rsidR="00000000" w:rsidRPr="00000000">
        <w:rPr>
          <w:rtl w:val="0"/>
        </w:rPr>
      </w:r>
    </w:p>
    <w:p w:rsidR="00000000" w:rsidDel="00000000" w:rsidP="00000000" w:rsidRDefault="00000000" w:rsidRPr="00000000" w14:paraId="0000001A">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8B. Student Equity</w:t>
      </w:r>
      <w:r w:rsidDel="00000000" w:rsidR="00000000" w:rsidRPr="00000000">
        <w:rPr>
          <w:rtl w:val="0"/>
        </w:rPr>
      </w:r>
    </w:p>
    <w:p w:rsidR="00000000" w:rsidDel="00000000" w:rsidP="00000000" w:rsidRDefault="00000000" w:rsidRPr="00000000" w14:paraId="0000001B">
      <w:pPr>
        <w:spacing w:after="0" w:lineRule="auto"/>
        <w:rPr>
          <w:rFonts w:ascii="Arial" w:cs="Arial" w:eastAsia="Arial" w:hAnsi="Arial"/>
          <w:b w:val="1"/>
          <w:color w:val="000000"/>
        </w:rPr>
      </w:pPr>
      <w:r w:rsidDel="00000000" w:rsidR="00000000" w:rsidRPr="00000000">
        <w:rPr>
          <w:rFonts w:ascii="Arial" w:cs="Arial" w:eastAsia="Arial" w:hAnsi="Arial"/>
          <w:b w:val="1"/>
          <w:color w:val="000000"/>
          <w:rtl w:val="0"/>
        </w:rPr>
        <w:t xml:space="preserve">One of the goals of the College’s Student Equity plan is to close the performance gaps for disproportionately impacted students. Use the data provided by PRIE that indicates which groups are experiencing a disproportionate impact in your program. Which gaps are most important for improving outcomes in your program? How can the college help you address these gaps?  What changes could be made?</w:t>
      </w:r>
    </w:p>
    <w:p w:rsidR="00000000" w:rsidDel="00000000" w:rsidP="00000000" w:rsidRDefault="00000000" w:rsidRPr="00000000" w14:paraId="0000001C">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D">
      <w:pPr>
        <w:spacing w:after="0" w:before="240" w:lineRule="auto"/>
        <w:rPr>
          <w:rFonts w:ascii="Arial" w:cs="Arial" w:eastAsia="Arial" w:hAnsi="Arial"/>
          <w:b w:val="1"/>
        </w:rPr>
      </w:pPr>
      <w:r w:rsidDel="00000000" w:rsidR="00000000" w:rsidRPr="00000000">
        <w:rPr>
          <w:rFonts w:ascii="Arial" w:cs="Arial" w:eastAsia="Arial" w:hAnsi="Arial"/>
          <w:b w:val="1"/>
          <w:rtl w:val="0"/>
        </w:rPr>
        <w:t xml:space="preserve">OVERALL EQUITY</w:t>
      </w:r>
    </w:p>
    <w:p w:rsidR="00000000" w:rsidDel="00000000" w:rsidP="00000000" w:rsidRDefault="00000000" w:rsidRPr="00000000" w14:paraId="0000001E">
      <w:pPr>
        <w:spacing w:after="0" w:lineRule="auto"/>
        <w:rPr>
          <w:rFonts w:ascii="Arial" w:cs="Arial" w:eastAsia="Arial" w:hAnsi="Arial"/>
          <w:b w:val="1"/>
        </w:rPr>
      </w:pPr>
      <w:r w:rsidDel="00000000" w:rsidR="00000000" w:rsidRPr="00000000">
        <w:rPr>
          <w:rtl w:val="0"/>
        </w:rPr>
      </w:r>
    </w:p>
    <w:p w:rsidR="00000000" w:rsidDel="00000000" w:rsidP="00000000" w:rsidRDefault="00000000" w:rsidRPr="00000000" w14:paraId="0000001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0">
      <w:pPr>
        <w:rPr>
          <w:rFonts w:ascii="Arial" w:cs="Arial" w:eastAsia="Arial" w:hAnsi="Arial"/>
          <w:color w:val="000000"/>
        </w:rPr>
      </w:pPr>
      <w:r w:rsidDel="00000000" w:rsidR="00000000" w:rsidRPr="00000000">
        <w:rPr>
          <w:rFonts w:ascii="Arial" w:cs="Arial" w:eastAsia="Arial" w:hAnsi="Arial"/>
          <w:rtl w:val="0"/>
        </w:rPr>
        <w:t xml:space="preserve">The Equity and Disproportionate Impact (DI) dashboard was used to identify subgroups that may have been disproportionately impacted in Digital Art &amp; Animation in the most recent academic year (2023-2024)</w:t>
      </w:r>
      <w:r w:rsidDel="00000000" w:rsidR="00000000" w:rsidRPr="00000000">
        <w:rPr>
          <w:rFonts w:ascii="Arial" w:cs="Arial" w:eastAsia="Arial" w:hAnsi="Arial"/>
          <w:vertAlign w:val="superscript"/>
        </w:rPr>
        <w:footnoteReference w:customMarkFollows="0" w:id="0"/>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The three metrics used to examine potential disproportionate impact were enrollment rates (referred as access), success rates, and withdraw rates. The rate for each subgroup was compared to either the college-wide rate (access) or the overall program-level rate (success and withdraws). The difference between the two rates is known as the ‘gap’ and may be referred to as a performance gap or equity gap. Student subgroups that may have been disproportionately impacted in Digital Art &amp; Animation appear below (see Table 1-2). </w:t>
      </w:r>
    </w:p>
    <w:p w:rsidR="00000000" w:rsidDel="00000000" w:rsidP="00000000" w:rsidRDefault="00000000" w:rsidRPr="00000000" w14:paraId="00000021">
      <w:pPr>
        <w:rPr>
          <w:rFonts w:ascii="Arial" w:cs="Arial" w:eastAsia="Arial" w:hAnsi="Arial"/>
          <w:b w:val="1"/>
        </w:rPr>
      </w:pPr>
      <w:r w:rsidDel="00000000" w:rsidR="00000000" w:rsidRPr="00000000">
        <w:rPr>
          <w:rFonts w:ascii="Arial" w:cs="Arial" w:eastAsia="Arial" w:hAnsi="Arial"/>
          <w:b w:val="1"/>
          <w:rtl w:val="0"/>
        </w:rPr>
        <w:t xml:space="preserve">Access</w:t>
      </w:r>
    </w:p>
    <w:p w:rsidR="00000000" w:rsidDel="00000000" w:rsidP="00000000" w:rsidRDefault="00000000" w:rsidRPr="00000000" w14:paraId="00000022">
      <w:pPr>
        <w:spacing w:line="276" w:lineRule="auto"/>
        <w:rPr>
          <w:rFonts w:ascii="Arial" w:cs="Arial" w:eastAsia="Arial" w:hAnsi="Arial"/>
        </w:rPr>
      </w:pPr>
      <w:r w:rsidDel="00000000" w:rsidR="00000000" w:rsidRPr="00000000">
        <w:rPr>
          <w:rFonts w:ascii="Arial" w:cs="Arial" w:eastAsia="Arial" w:hAnsi="Arial"/>
          <w:color w:val="000000"/>
          <w:rtl w:val="0"/>
        </w:rPr>
        <w:t xml:space="preserve">Access is an indicator of what student subgroups are enrolling in courses, based on unique student counts. </w:t>
      </w:r>
      <w:r w:rsidDel="00000000" w:rsidR="00000000" w:rsidRPr="00000000">
        <w:rPr>
          <w:rFonts w:ascii="Arial" w:cs="Arial" w:eastAsia="Arial" w:hAnsi="Arial"/>
          <w:rtl w:val="0"/>
        </w:rPr>
        <w:t xml:space="preserve">Enrollment data revealed three student subgroups were underrepresented in Digital Art &amp; Animation classes compared to the college-wide population (see Table 1). For instance, female students are underrepresented in Digital Art &amp; Animation. The proportion of female students in Digital Art &amp; Animation across all course modalities was 16 percentage points lower than the proportion of female students enrolled college-wide.</w:t>
      </w:r>
    </w:p>
    <w:p w:rsidR="00000000" w:rsidDel="00000000" w:rsidP="00000000" w:rsidRDefault="00000000" w:rsidRPr="00000000" w14:paraId="00000023">
      <w:pPr>
        <w:spacing w:line="276" w:lineRule="auto"/>
        <w:rPr>
          <w:rFonts w:ascii="Arial" w:cs="Arial" w:eastAsia="Arial" w:hAnsi="Arial"/>
        </w:rPr>
      </w:pPr>
      <w:r w:rsidDel="00000000" w:rsidR="00000000" w:rsidRPr="00000000">
        <w:rPr>
          <w:rFonts w:ascii="Arial" w:cs="Arial" w:eastAsia="Arial" w:hAnsi="Arial"/>
          <w:rtl w:val="0"/>
        </w:rPr>
        <w:t xml:space="preserve">Table 1.</w:t>
      </w:r>
    </w:p>
    <w:tbl>
      <w:tblPr>
        <w:tblStyle w:val="Table1"/>
        <w:tblW w:w="5010.0" w:type="dxa"/>
        <w:jc w:val="left"/>
        <w:tblLayout w:type="fixed"/>
        <w:tblLook w:val="0400"/>
      </w:tblPr>
      <w:tblGrid>
        <w:gridCol w:w="2610"/>
        <w:gridCol w:w="2400"/>
        <w:tblGridChange w:id="0">
          <w:tblGrid>
            <w:gridCol w:w="2610"/>
            <w:gridCol w:w="2400"/>
          </w:tblGrid>
        </w:tblGridChange>
      </w:tblGrid>
      <w:tr>
        <w:trPr>
          <w:cantSplit w:val="0"/>
          <w:trHeight w:val="285" w:hRule="atLeast"/>
          <w:tblHeader w:val="0"/>
        </w:trPr>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24">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8" w:val="single"/>
              <w:right w:color="000000" w:space="0" w:sz="4" w:val="single"/>
            </w:tcBorders>
            <w:shd w:fill="auto" w:val="clear"/>
            <w:vAlign w:val="bottom"/>
          </w:tcPr>
          <w:p w:rsidR="00000000" w:rsidDel="00000000" w:rsidP="00000000" w:rsidRDefault="00000000" w:rsidRPr="00000000" w14:paraId="00000025">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6">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Female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7">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-16%</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8">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Not disabled</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29">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-7%</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A">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Less than Part-Time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2B">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-21%</w:t>
            </w:r>
          </w:p>
        </w:tc>
      </w:tr>
    </w:tbl>
    <w:p w:rsidR="00000000" w:rsidDel="00000000" w:rsidP="00000000" w:rsidRDefault="00000000" w:rsidRPr="00000000" w14:paraId="0000002C">
      <w:pPr>
        <w:spacing w:line="276" w:lineRule="auto"/>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b w:val="1"/>
          <w:color w:val="000000"/>
        </w:rPr>
      </w:pPr>
      <w:r w:rsidDel="00000000" w:rsidR="00000000" w:rsidRPr="00000000">
        <w:rPr>
          <w:rFonts w:ascii="Arial" w:cs="Arial" w:eastAsia="Arial" w:hAnsi="Arial"/>
          <w:b w:val="1"/>
          <w:color w:val="000000"/>
          <w:rtl w:val="0"/>
        </w:rPr>
        <w:t xml:space="preserve">Success</w:t>
      </w:r>
    </w:p>
    <w:p w:rsidR="00000000" w:rsidDel="00000000" w:rsidP="00000000" w:rsidRDefault="00000000" w:rsidRPr="00000000" w14:paraId="0000002E">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Success is the rate at which different student subgroups pass courses and is based on enrollments. The success rate for different subgroups in Digital Art &amp; Animation was compared to the overall success rate in Digital Art &amp; Animation. The difference between the two rates (the gap) revealed dix subgroups may have been disproportionately impacted (see Table 2). For example, the success rate for Hispanic male students in Digital Art &amp; Animation was 8 percentage points lower than the overall success rate in Digital Art &amp; Animation during the 2023-2024 academic year.</w:t>
      </w:r>
    </w:p>
    <w:p w:rsidR="00000000" w:rsidDel="00000000" w:rsidP="00000000" w:rsidRDefault="00000000" w:rsidRPr="00000000" w14:paraId="0000002F">
      <w:pPr>
        <w:spacing w:line="276" w:lineRule="auto"/>
        <w:rPr>
          <w:rFonts w:ascii="Arial" w:cs="Arial" w:eastAsia="Arial" w:hAnsi="Arial"/>
          <w:color w:val="000000"/>
        </w:rPr>
      </w:pPr>
      <w:r w:rsidDel="00000000" w:rsidR="00000000" w:rsidRPr="00000000">
        <w:rPr>
          <w:rFonts w:ascii="Arial" w:cs="Arial" w:eastAsia="Arial" w:hAnsi="Arial"/>
          <w:color w:val="000000"/>
          <w:rtl w:val="0"/>
        </w:rPr>
        <w:t xml:space="preserve">Table 2.</w:t>
      </w:r>
    </w:p>
    <w:tbl>
      <w:tblPr>
        <w:tblStyle w:val="Table2"/>
        <w:tblW w:w="5175.0" w:type="dxa"/>
        <w:jc w:val="left"/>
        <w:tblLayout w:type="fixed"/>
        <w:tblLook w:val="0400"/>
      </w:tblPr>
      <w:tblGrid>
        <w:gridCol w:w="2625"/>
        <w:gridCol w:w="2550"/>
        <w:tblGridChange w:id="0">
          <w:tblGrid>
            <w:gridCol w:w="2625"/>
            <w:gridCol w:w="2550"/>
          </w:tblGrid>
        </w:tblGridChange>
      </w:tblGrid>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0">
            <w:pPr>
              <w:spacing w:after="0" w:line="240" w:lineRule="auto"/>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SubGroup</w:t>
            </w:r>
          </w:p>
        </w:tc>
        <w:tc>
          <w:tcPr>
            <w:tcBorders>
              <w:top w:color="000000" w:space="0" w:sz="4" w:val="single"/>
              <w:left w:color="000000" w:space="0" w:sz="4" w:val="single"/>
              <w:bottom w:color="000000" w:space="0" w:sz="4" w:val="single"/>
              <w:right w:color="000000" w:space="0" w:sz="4" w:val="single"/>
            </w:tcBorders>
            <w:shd w:fill="auto" w:val="clear"/>
            <w:vAlign w:val="bottom"/>
          </w:tcPr>
          <w:p w:rsidR="00000000" w:rsidDel="00000000" w:rsidP="00000000" w:rsidRDefault="00000000" w:rsidRPr="00000000" w14:paraId="00000031">
            <w:pPr>
              <w:spacing w:after="0" w:line="240" w:lineRule="auto"/>
              <w:jc w:val="right"/>
              <w:rPr>
                <w:rFonts w:ascii="Aptos Narrow" w:cs="Aptos Narrow" w:eastAsia="Aptos Narrow" w:hAnsi="Aptos Narrow"/>
                <w:b w:val="1"/>
                <w:color w:val="000000"/>
              </w:rPr>
            </w:pPr>
            <w:r w:rsidDel="00000000" w:rsidR="00000000" w:rsidRPr="00000000">
              <w:rPr>
                <w:rFonts w:ascii="Aptos Narrow" w:cs="Aptos Narrow" w:eastAsia="Aptos Narrow" w:hAnsi="Aptos Narrow"/>
                <w:b w:val="1"/>
                <w:color w:val="000000"/>
                <w:rtl w:val="0"/>
              </w:rPr>
              <w:t xml:space="preserve">Gap</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2">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Male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3">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-5%</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4">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Black - Non-Hispanic</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5">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-16%</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6">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Hispanic - Male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7">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-8%</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8">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Under 18</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9">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-15%</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A">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Low Income</w:t>
            </w:r>
          </w:p>
        </w:tc>
        <w:tc>
          <w:tcPr>
            <w:tcBorders>
              <w:top w:color="000000" w:space="0" w:sz="4" w:val="single"/>
              <w:left w:color="000000" w:space="0" w:sz="4" w:val="single"/>
              <w:bottom w:color="000000" w:space="0" w:sz="4" w:val="single"/>
              <w:right w:color="000000" w:space="0" w:sz="4" w:val="single"/>
            </w:tcBorders>
            <w:shd w:fill="d9d9d9" w:val="clear"/>
            <w:vAlign w:val="bottom"/>
          </w:tcPr>
          <w:p w:rsidR="00000000" w:rsidDel="00000000" w:rsidP="00000000" w:rsidRDefault="00000000" w:rsidRPr="00000000" w14:paraId="0000003B">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-9%</w:t>
            </w:r>
          </w:p>
        </w:tc>
      </w:tr>
      <w:tr>
        <w:trPr>
          <w:cantSplit w:val="0"/>
          <w:trHeight w:val="285" w:hRule="atLeast"/>
          <w:tblHeader w:val="0"/>
        </w:trPr>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C">
            <w:pPr>
              <w:spacing w:after="0" w:line="240" w:lineRule="auto"/>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Less than Part-Time</w:t>
            </w:r>
          </w:p>
        </w:tc>
        <w:tc>
          <w:tcPr>
            <w:tcBorders>
              <w:top w:color="000000" w:space="0" w:sz="4" w:val="single"/>
              <w:left w:color="000000" w:space="0" w:sz="4" w:val="single"/>
              <w:bottom w:color="000000" w:space="0" w:sz="4" w:val="single"/>
              <w:right w:color="000000" w:space="0" w:sz="4" w:val="single"/>
            </w:tcBorders>
            <w:shd w:fill="ffffff" w:val="clear"/>
            <w:vAlign w:val="bottom"/>
          </w:tcPr>
          <w:p w:rsidR="00000000" w:rsidDel="00000000" w:rsidP="00000000" w:rsidRDefault="00000000" w:rsidRPr="00000000" w14:paraId="0000003D">
            <w:pPr>
              <w:spacing w:after="0" w:line="240" w:lineRule="auto"/>
              <w:jc w:val="right"/>
              <w:rPr>
                <w:rFonts w:ascii="Aptos Narrow" w:cs="Aptos Narrow" w:eastAsia="Aptos Narrow" w:hAnsi="Aptos Narrow"/>
                <w:color w:val="000000"/>
              </w:rPr>
            </w:pPr>
            <w:r w:rsidDel="00000000" w:rsidR="00000000" w:rsidRPr="00000000">
              <w:rPr>
                <w:rFonts w:ascii="Aptos Narrow" w:cs="Aptos Narrow" w:eastAsia="Aptos Narrow" w:hAnsi="Aptos Narrow"/>
                <w:color w:val="000000"/>
                <w:rtl w:val="0"/>
              </w:rPr>
              <w:t xml:space="preserve">-8%</w:t>
            </w:r>
          </w:p>
        </w:tc>
      </w:tr>
    </w:tbl>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spacing w:after="240" w:before="240" w:lineRule="auto"/>
        <w:rPr>
          <w:rFonts w:ascii="Arial" w:cs="Arial" w:eastAsia="Arial" w:hAnsi="Arial"/>
          <w:b w:val="1"/>
          <w:highlight w:val="yellow"/>
        </w:rPr>
      </w:pPr>
      <w:r w:rsidDel="00000000" w:rsidR="00000000" w:rsidRPr="00000000">
        <w:rPr>
          <w:rFonts w:ascii="Arial" w:cs="Arial" w:eastAsia="Arial" w:hAnsi="Arial"/>
          <w:b w:val="1"/>
          <w:highlight w:val="yellow"/>
          <w:rtl w:val="0"/>
        </w:rPr>
        <w:t xml:space="preserve">EQUITY BY INSTRUCTIONAL MODALITY</w:t>
      </w:r>
    </w:p>
    <w:p w:rsidR="00000000" w:rsidDel="00000000" w:rsidP="00000000" w:rsidRDefault="00000000" w:rsidRPr="00000000" w14:paraId="00000040">
      <w:pPr>
        <w:spacing w:after="240" w:before="240" w:lineRule="auto"/>
        <w:rPr>
          <w:rFonts w:ascii="Arial" w:cs="Arial" w:eastAsia="Arial" w:hAnsi="Arial"/>
          <w:b w:val="1"/>
        </w:rPr>
      </w:pPr>
      <w:r w:rsidDel="00000000" w:rsidR="00000000" w:rsidRPr="00000000">
        <w:rPr>
          <w:rFonts w:ascii="Arial" w:cs="Arial" w:eastAsia="Arial" w:hAnsi="Arial"/>
          <w:b w:val="1"/>
          <w:rtl w:val="0"/>
        </w:rPr>
        <w:t xml:space="preserve">Success</w:t>
      </w:r>
    </w:p>
    <w:p w:rsidR="00000000" w:rsidDel="00000000" w:rsidP="00000000" w:rsidRDefault="00000000" w:rsidRPr="00000000" w14:paraId="00000041">
      <w:pPr>
        <w:spacing w:after="240" w:before="240" w:line="276" w:lineRule="auto"/>
        <w:rPr>
          <w:rFonts w:ascii="Arial" w:cs="Arial" w:eastAsia="Arial" w:hAnsi="Arial"/>
        </w:rPr>
      </w:pPr>
      <w:r w:rsidDel="00000000" w:rsidR="00000000" w:rsidRPr="00000000">
        <w:rPr>
          <w:rFonts w:ascii="Arial" w:cs="Arial" w:eastAsia="Arial" w:hAnsi="Arial"/>
          <w:rtl w:val="0"/>
        </w:rPr>
        <w:t xml:space="preserve">Success is the rate at which different student subgroups pass courses and is based on enrollments. The success rate for different subgroups in Digital Art &amp; Animation was compared to the overall success rate in Digital Art &amp; Animation. The difference between the two rates (the gap) revealed three subgroups may have been disproportionately impacted (see Table 1). For example, the success rate for under 18 students in face to face classes for Digital Art &amp; Animation was 12 points lower than the overall success rate in Digital Art &amp; Animation during the 2023-2024 academic year.</w:t>
      </w:r>
    </w:p>
    <w:p w:rsidR="00000000" w:rsidDel="00000000" w:rsidP="00000000" w:rsidRDefault="00000000" w:rsidRPr="00000000" w14:paraId="00000042">
      <w:pPr>
        <w:spacing w:after="240" w:before="240" w:line="276" w:lineRule="auto"/>
        <w:rPr>
          <w:rFonts w:ascii="Arial" w:cs="Arial" w:eastAsia="Arial" w:hAnsi="Arial"/>
        </w:rPr>
      </w:pPr>
      <w:r w:rsidDel="00000000" w:rsidR="00000000" w:rsidRPr="00000000">
        <w:rPr>
          <w:rFonts w:ascii="Arial" w:cs="Arial" w:eastAsia="Arial" w:hAnsi="Arial"/>
          <w:rtl w:val="0"/>
        </w:rPr>
        <w:t xml:space="preserve"> </w:t>
      </w:r>
    </w:p>
    <w:tbl>
      <w:tblPr>
        <w:tblStyle w:val="Table3"/>
        <w:tblW w:w="736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85"/>
        <w:gridCol w:w="1170"/>
        <w:gridCol w:w="1515"/>
        <w:gridCol w:w="1170"/>
        <w:gridCol w:w="1125"/>
        <w:tblGridChange w:id="0">
          <w:tblGrid>
            <w:gridCol w:w="2385"/>
            <w:gridCol w:w="1170"/>
            <w:gridCol w:w="1515"/>
            <w:gridCol w:w="1170"/>
            <w:gridCol w:w="1125"/>
          </w:tblGrid>
        </w:tblGridChange>
      </w:tblGrid>
      <w:tr>
        <w:trPr>
          <w:cantSplit w:val="0"/>
          <w:trHeight w:val="570" w:hRule="atLeast"/>
          <w:tblHeader w:val="0"/>
        </w:trPr>
        <w:tc>
          <w:tcPr>
            <w:tcBorders>
              <w:top w:color="000000" w:space="0" w:sz="7" w:val="single"/>
              <w:left w:color="000000" w:space="0" w:sz="7" w:val="single"/>
              <w:bottom w:color="000000" w:space="0" w:sz="7" w:val="single"/>
              <w:right w:color="000000" w:space="0" w:sz="7" w:val="single"/>
            </w:tcBorders>
            <w:shd w:fill="cfe2f3" w:val="clear"/>
            <w:tcMar>
              <w:top w:w="0.0" w:type="dxa"/>
              <w:left w:w="100.0" w:type="dxa"/>
              <w:bottom w:w="0.0" w:type="dxa"/>
              <w:right w:w="100.0" w:type="dxa"/>
            </w:tcMar>
            <w:vAlign w:val="top"/>
          </w:tcPr>
          <w:p w:rsidR="00000000" w:rsidDel="00000000" w:rsidP="00000000" w:rsidRDefault="00000000" w:rsidRPr="00000000" w14:paraId="00000043">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SubGroup</w:t>
            </w:r>
          </w:p>
        </w:tc>
        <w:tc>
          <w:tcPr>
            <w:tcBorders>
              <w:top w:color="000000" w:space="0" w:sz="7" w:val="single"/>
              <w:left w:color="000000" w:space="0" w:sz="0" w:val="nil"/>
              <w:bottom w:color="000000" w:space="0" w:sz="7" w:val="single"/>
              <w:right w:color="000000" w:space="0" w:sz="7" w:val="single"/>
            </w:tcBorders>
            <w:shd w:fill="cfe2f3" w:val="clear"/>
            <w:tcMar>
              <w:top w:w="0.0" w:type="dxa"/>
              <w:left w:w="100.0" w:type="dxa"/>
              <w:bottom w:w="0.0" w:type="dxa"/>
              <w:right w:w="100.0" w:type="dxa"/>
            </w:tcMar>
            <w:vAlign w:val="top"/>
          </w:tcPr>
          <w:p w:rsidR="00000000" w:rsidDel="00000000" w:rsidP="00000000" w:rsidRDefault="00000000" w:rsidRPr="00000000" w14:paraId="00000044">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ONLINE</w:t>
            </w:r>
          </w:p>
        </w:tc>
        <w:tc>
          <w:tcPr>
            <w:tcBorders>
              <w:top w:color="000000" w:space="0" w:sz="7" w:val="single"/>
              <w:left w:color="000000" w:space="0" w:sz="0" w:val="nil"/>
              <w:bottom w:color="000000" w:space="0" w:sz="7" w:val="single"/>
              <w:right w:color="000000" w:space="0" w:sz="7" w:val="single"/>
            </w:tcBorders>
            <w:shd w:fill="cfe2f3" w:val="clear"/>
            <w:tcMar>
              <w:top w:w="0.0" w:type="dxa"/>
              <w:left w:w="100.0" w:type="dxa"/>
              <w:bottom w:w="0.0" w:type="dxa"/>
              <w:right w:w="100.0" w:type="dxa"/>
            </w:tcMar>
            <w:vAlign w:val="top"/>
          </w:tcPr>
          <w:p w:rsidR="00000000" w:rsidDel="00000000" w:rsidP="00000000" w:rsidRDefault="00000000" w:rsidRPr="00000000" w14:paraId="00000045">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FACE TO FACE</w:t>
            </w:r>
          </w:p>
        </w:tc>
        <w:tc>
          <w:tcPr>
            <w:tcBorders>
              <w:top w:color="000000" w:space="0" w:sz="7" w:val="single"/>
              <w:left w:color="000000" w:space="0" w:sz="0" w:val="nil"/>
              <w:bottom w:color="000000" w:space="0" w:sz="7" w:val="single"/>
              <w:right w:color="000000" w:space="0" w:sz="7" w:val="single"/>
            </w:tcBorders>
            <w:shd w:fill="cfe2f3" w:val="clear"/>
            <w:tcMar>
              <w:top w:w="0.0" w:type="dxa"/>
              <w:left w:w="100.0" w:type="dxa"/>
              <w:bottom w:w="0.0" w:type="dxa"/>
              <w:right w:w="100.0" w:type="dxa"/>
            </w:tcMar>
            <w:vAlign w:val="top"/>
          </w:tcPr>
          <w:p w:rsidR="00000000" w:rsidDel="00000000" w:rsidP="00000000" w:rsidRDefault="00000000" w:rsidRPr="00000000" w14:paraId="00000046">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HYBRID</w:t>
            </w:r>
          </w:p>
        </w:tc>
        <w:tc>
          <w:tcPr>
            <w:tcBorders>
              <w:top w:color="000000" w:space="0" w:sz="7" w:val="single"/>
              <w:left w:color="000000" w:space="0" w:sz="0" w:val="nil"/>
              <w:bottom w:color="000000" w:space="0" w:sz="7" w:val="single"/>
              <w:right w:color="000000" w:space="0" w:sz="7" w:val="single"/>
            </w:tcBorders>
            <w:shd w:fill="cfe2f3" w:val="clear"/>
            <w:tcMar>
              <w:top w:w="0.0" w:type="dxa"/>
              <w:left w:w="100.0" w:type="dxa"/>
              <w:bottom w:w="0.0" w:type="dxa"/>
              <w:right w:w="100.0" w:type="dxa"/>
            </w:tcMar>
            <w:vAlign w:val="top"/>
          </w:tcPr>
          <w:p w:rsidR="00000000" w:rsidDel="00000000" w:rsidP="00000000" w:rsidRDefault="00000000" w:rsidRPr="00000000" w14:paraId="00000047">
            <w:pPr>
              <w:spacing w:after="0" w:before="240" w:line="276" w:lineRule="auto"/>
              <w:rPr>
                <w:rFonts w:ascii="Arial" w:cs="Arial" w:eastAsia="Arial" w:hAnsi="Arial"/>
                <w:b w:val="1"/>
              </w:rPr>
            </w:pPr>
            <w:r w:rsidDel="00000000" w:rsidR="00000000" w:rsidRPr="00000000">
              <w:rPr>
                <w:rFonts w:ascii="Arial" w:cs="Arial" w:eastAsia="Arial" w:hAnsi="Arial"/>
                <w:b w:val="1"/>
                <w:rtl w:val="0"/>
              </w:rPr>
              <w:t xml:space="preserve">SYNC</w:t>
            </w:r>
          </w:p>
        </w:tc>
      </w:tr>
      <w:tr>
        <w:trPr>
          <w:cantSplit w:val="0"/>
          <w:trHeight w:val="285" w:hRule="atLeast"/>
          <w:tblHeader w:val="0"/>
        </w:trPr>
        <w:tc>
          <w:tcPr>
            <w:tcBorders>
              <w:top w:color="000000" w:space="0" w:sz="0" w:val="nil"/>
              <w:left w:color="000000" w:space="0" w:sz="7" w:val="single"/>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48">
            <w:pPr>
              <w:spacing w:after="0" w:before="240" w:line="276" w:lineRule="auto"/>
              <w:rPr/>
            </w:pPr>
            <w:r w:rsidDel="00000000" w:rsidR="00000000" w:rsidRPr="00000000">
              <w:rPr>
                <w:rtl w:val="0"/>
              </w:rPr>
              <w:t xml:space="preserve">Under 18</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49">
            <w:pPr>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4A">
            <w:pPr>
              <w:spacing w:after="0" w:before="240" w:line="276" w:lineRule="auto"/>
              <w:jc w:val="right"/>
              <w:rPr/>
            </w:pPr>
            <w:r w:rsidDel="00000000" w:rsidR="00000000" w:rsidRPr="00000000">
              <w:rPr>
                <w:rtl w:val="0"/>
              </w:rPr>
              <w:t xml:space="preserve">-23%</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4B">
            <w:pPr>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4C">
            <w:pPr>
              <w:rPr/>
            </w:pPr>
            <w:r w:rsidDel="00000000" w:rsidR="00000000" w:rsidRPr="00000000">
              <w:rPr>
                <w:rtl w:val="0"/>
              </w:rPr>
            </w:r>
          </w:p>
        </w:tc>
      </w:tr>
      <w:tr>
        <w:trPr>
          <w:cantSplit w:val="0"/>
          <w:trHeight w:val="285" w:hRule="atLeast"/>
          <w:tblHeader w:val="0"/>
        </w:trPr>
        <w:tc>
          <w:tcPr>
            <w:tcBorders>
              <w:top w:color="000000" w:space="0" w:sz="0" w:val="nil"/>
              <w:left w:color="000000" w:space="0" w:sz="7" w:val="single"/>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4D">
            <w:pPr>
              <w:spacing w:after="0" w:before="240" w:line="276" w:lineRule="auto"/>
              <w:rPr/>
            </w:pPr>
            <w:r w:rsidDel="00000000" w:rsidR="00000000" w:rsidRPr="00000000">
              <w:rPr>
                <w:rtl w:val="0"/>
              </w:rPr>
              <w:t xml:space="preserve">Less than Part-Time</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4E">
            <w:pPr>
              <w:spacing w:after="0" w:before="240" w:line="276" w:lineRule="auto"/>
              <w:rPr/>
            </w:pPr>
            <w:r w:rsidDel="00000000" w:rsidR="00000000" w:rsidRPr="00000000">
              <w:rPr>
                <w:rtl w:val="0"/>
              </w:rPr>
              <w:t xml:space="preserve"> </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4F">
            <w:pPr>
              <w:spacing w:after="0" w:before="240" w:line="276" w:lineRule="auto"/>
              <w:jc w:val="right"/>
              <w:rPr/>
            </w:pPr>
            <w:r w:rsidDel="00000000" w:rsidR="00000000" w:rsidRPr="00000000">
              <w:rPr>
                <w:rtl w:val="0"/>
              </w:rPr>
              <w:t xml:space="preserve">-9%</w:t>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50">
            <w:pPr>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tcMar>
              <w:top w:w="0.0" w:type="dxa"/>
              <w:left w:w="100.0" w:type="dxa"/>
              <w:bottom w:w="0.0" w:type="dxa"/>
              <w:right w:w="100.0" w:type="dxa"/>
            </w:tcMar>
            <w:vAlign w:val="bottom"/>
          </w:tcPr>
          <w:p w:rsidR="00000000" w:rsidDel="00000000" w:rsidP="00000000" w:rsidRDefault="00000000" w:rsidRPr="00000000" w14:paraId="00000051">
            <w:pPr>
              <w:rPr/>
            </w:pPr>
            <w:r w:rsidDel="00000000" w:rsidR="00000000" w:rsidRPr="00000000">
              <w:rPr>
                <w:rtl w:val="0"/>
              </w:rPr>
            </w:r>
          </w:p>
        </w:tc>
      </w:tr>
      <w:tr>
        <w:trPr>
          <w:cantSplit w:val="0"/>
          <w:trHeight w:val="285" w:hRule="atLeast"/>
          <w:tblHeader w:val="0"/>
        </w:trPr>
        <w:tc>
          <w:tcPr>
            <w:tcBorders>
              <w:top w:color="000000" w:space="0" w:sz="0" w:val="nil"/>
              <w:left w:color="000000" w:space="0" w:sz="7" w:val="single"/>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52">
            <w:pPr>
              <w:spacing w:after="0" w:before="240" w:line="276" w:lineRule="auto"/>
              <w:rPr/>
            </w:pPr>
            <w:r w:rsidDel="00000000" w:rsidR="00000000" w:rsidRPr="00000000">
              <w:rPr>
                <w:rtl w:val="0"/>
              </w:rPr>
              <w:t xml:space="preserve">23-28</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53">
            <w:pPr>
              <w:spacing w:after="0" w:before="240" w:line="276" w:lineRule="auto"/>
              <w:jc w:val="right"/>
              <w:rPr/>
            </w:pPr>
            <w:r w:rsidDel="00000000" w:rsidR="00000000" w:rsidRPr="00000000">
              <w:rPr>
                <w:rtl w:val="0"/>
              </w:rPr>
              <w:t xml:space="preserve">-16%</w:t>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54">
            <w:pPr>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55">
            <w:pPr>
              <w:rPr/>
            </w:pPr>
            <w:r w:rsidDel="00000000" w:rsidR="00000000" w:rsidRPr="00000000">
              <w:rPr>
                <w:rtl w:val="0"/>
              </w:rPr>
            </w:r>
          </w:p>
        </w:tc>
        <w:tc>
          <w:tcPr>
            <w:tcBorders>
              <w:top w:color="000000" w:space="0" w:sz="0" w:val="nil"/>
              <w:left w:color="000000" w:space="0" w:sz="0" w:val="nil"/>
              <w:bottom w:color="000000" w:space="0" w:sz="7" w:val="single"/>
              <w:right w:color="000000" w:space="0" w:sz="7" w:val="single"/>
            </w:tcBorders>
            <w:shd w:fill="d9d9d9" w:val="clear"/>
            <w:tcMar>
              <w:top w:w="0.0" w:type="dxa"/>
              <w:left w:w="100.0" w:type="dxa"/>
              <w:bottom w:w="0.0" w:type="dxa"/>
              <w:right w:w="100.0" w:type="dxa"/>
            </w:tcMar>
            <w:vAlign w:val="bottom"/>
          </w:tcPr>
          <w:p w:rsidR="00000000" w:rsidDel="00000000" w:rsidP="00000000" w:rsidRDefault="00000000" w:rsidRPr="00000000" w14:paraId="00000056">
            <w:pPr>
              <w:rPr/>
            </w:pP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u w:val="single"/>
          <w:rtl w:val="0"/>
        </w:rPr>
        <w:t xml:space="preserve">8C. Completion – Success Online</w:t>
      </w:r>
      <w:r w:rsidDel="00000000" w:rsidR="00000000" w:rsidRPr="00000000">
        <w:rPr>
          <w:rtl w:val="0"/>
        </w:rPr>
      </w:r>
    </w:p>
    <w:p w:rsidR="00000000" w:rsidDel="00000000" w:rsidP="00000000" w:rsidRDefault="00000000" w:rsidRPr="00000000" w14:paraId="0000005A">
      <w:pPr>
        <w:spacing w:after="0" w:lineRule="auto"/>
        <w:rPr>
          <w:rFonts w:ascii="Times New Roman" w:cs="Times New Roman" w:eastAsia="Times New Roman" w:hAnsi="Times New Roman"/>
          <w:b w:val="1"/>
        </w:rPr>
      </w:pPr>
      <w:r w:rsidDel="00000000" w:rsidR="00000000" w:rsidRPr="00000000">
        <w:rPr>
          <w:rFonts w:ascii="Arial" w:cs="Arial" w:eastAsia="Arial" w:hAnsi="Arial"/>
          <w:b w:val="1"/>
          <w:color w:val="000000"/>
          <w:rtl w:val="0"/>
        </w:rPr>
        <w:t xml:space="preserve">The college has a goal of improving success in online courses. Using the data provided by PRIE, what significant gaps do you see in success between online/hybrid and non-online courses? What changes could be made to reduce these gaps?  If your program does not offer online/hybrid courses, please write “not applicable”.</w:t>
      </w: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drawing>
          <wp:inline distB="0" distT="0" distL="0" distR="0">
            <wp:extent cx="4614863" cy="5915969"/>
            <wp:effectExtent b="0" l="0" r="0" t="0"/>
            <wp:docPr descr="A graph with numbers and lines&#10;&#10;Description automatically generated" id="2056426666" name="image2.png"/>
            <a:graphic>
              <a:graphicData uri="http://schemas.openxmlformats.org/drawingml/2006/picture">
                <pic:pic>
                  <pic:nvPicPr>
                    <pic:cNvPr descr="A graph with numbers and lines&#10;&#10;Description automatically generated" id="0" name="image2.png"/>
                    <pic:cNvPicPr preferRelativeResize="0"/>
                  </pic:nvPicPr>
                  <pic:blipFill>
                    <a:blip r:embed="rId16"/>
                    <a:srcRect b="0" l="0" r="0" t="0"/>
                    <a:stretch>
                      <a:fillRect/>
                    </a:stretch>
                  </pic:blipFill>
                  <pic:spPr>
                    <a:xfrm>
                      <a:off x="0" y="0"/>
                      <a:ext cx="4614863" cy="5915969"/>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Success rates for in person classes were consistently higher all five years recorded than online classes. Success rates for in person classes rose from 68% to 84% between 2019-2020 and 2021-2022. They then dipped back to the low of 68% by 2023-2024. Online class success rates increased significantly between 2019-2020 to 2021-2022 going from 48% to 71%. However, much like in person classes, they dipped down consistently until 2023-2024. In this case the success rate was 63% versus 68% for in person classes. Success rates for synchronous classes started at 75% in 2020-2021, dipped to 60% by 2022-2023 and then rose to an all time high of 78% in 2023-2024.</w:t>
      </w:r>
    </w:p>
    <w:p w:rsidR="00000000" w:rsidDel="00000000" w:rsidP="00000000" w:rsidRDefault="00000000" w:rsidRPr="00000000" w14:paraId="0000005F">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Times New Roman"/>
  <w:font w:name="Aptos"/>
  <w:font w:name="Play">
    <w:embedRegular w:fontKey="{00000000-0000-0000-0000-000000000000}" r:id="rId1" w:subsetted="0"/>
    <w:embedBold w:fontKey="{00000000-0000-0000-0000-000000000000}" r:id="rId2" w:subsetted="0"/>
  </w:font>
  <w:font w:name="Aptos Narrow"/>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otnote w:id="0">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rStyle w:val="FootnoteReference"/>
          <w:vertAlign w:val="superscript"/>
        </w:rPr>
        <w:footnoteRef/>
      </w:r>
      <w:r w:rsidDel="00000000" w:rsidR="00000000" w:rsidRPr="00000000">
        <w:rPr>
          <w:color w:val="000000"/>
          <w:sz w:val="20"/>
          <w:szCs w:val="20"/>
          <w:rtl w:val="0"/>
        </w:rPr>
        <w:t xml:space="preserve"> </w:t>
      </w:r>
      <w:r w:rsidDel="00000000" w:rsidR="00000000" w:rsidRPr="00000000">
        <w:rPr>
          <w:rFonts w:ascii="Arial" w:cs="Arial" w:eastAsia="Arial" w:hAnsi="Arial"/>
          <w:color w:val="000000"/>
          <w:rtl w:val="0"/>
        </w:rPr>
        <w:t xml:space="preserve">Source: </w:t>
      </w:r>
      <w:r w:rsidDel="00000000" w:rsidR="00000000" w:rsidRPr="00000000">
        <w:rPr>
          <w:rFonts w:ascii="Arial" w:cs="Arial" w:eastAsia="Arial" w:hAnsi="Arial"/>
          <w:color w:val="0563c2"/>
          <w:rtl w:val="0"/>
        </w:rPr>
        <w:t xml:space="preserve">https://canadacollege.edu/prie/dashboards/disproportionate-impact.php</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ptos" w:cs="Aptos" w:eastAsia="Aptos" w:hAnsi="Aptos"/>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rsid w:val="00B070FC"/>
  </w:style>
  <w:style w:type="paragraph" w:styleId="Heading1">
    <w:name w:val="heading 1"/>
    <w:basedOn w:val="Normal"/>
    <w:next w:val="Normal"/>
    <w:link w:val="Heading1Char"/>
    <w:uiPriority w:val="9"/>
    <w:qFormat w:val="1"/>
    <w:rsid w:val="00881CB2"/>
    <w:pPr>
      <w:keepNext w:val="1"/>
      <w:keepLines w:val="1"/>
      <w:spacing w:after="80" w:before="360"/>
      <w:outlineLvl w:val="0"/>
    </w:pPr>
    <w:rPr>
      <w:rFonts w:asciiTheme="majorHAnsi" w:cstheme="majorBidi" w:eastAsiaTheme="majorEastAsia" w:hAnsiTheme="majorHAnsi"/>
      <w:color w:val="0f4761" w:themeColor="accent1" w:themeShade="0000BF"/>
      <w:kern w:val="2"/>
      <w:sz w:val="40"/>
      <w:szCs w:val="40"/>
    </w:rPr>
  </w:style>
  <w:style w:type="paragraph" w:styleId="Heading2">
    <w:name w:val="heading 2"/>
    <w:basedOn w:val="Normal"/>
    <w:next w:val="Normal"/>
    <w:link w:val="Heading2Char"/>
    <w:uiPriority w:val="9"/>
    <w:semiHidden w:val="1"/>
    <w:unhideWhenUsed w:val="1"/>
    <w:qFormat w:val="1"/>
    <w:rsid w:val="00881CB2"/>
    <w:pPr>
      <w:keepNext w:val="1"/>
      <w:keepLines w:val="1"/>
      <w:spacing w:after="80" w:before="160"/>
      <w:outlineLvl w:val="1"/>
    </w:pPr>
    <w:rPr>
      <w:rFonts w:asciiTheme="majorHAnsi" w:cstheme="majorBidi" w:eastAsiaTheme="majorEastAsia" w:hAnsiTheme="majorHAnsi"/>
      <w:color w:val="0f4761" w:themeColor="accent1" w:themeShade="0000BF"/>
      <w:kern w:val="2"/>
      <w:sz w:val="32"/>
      <w:szCs w:val="32"/>
    </w:rPr>
  </w:style>
  <w:style w:type="paragraph" w:styleId="Heading3">
    <w:name w:val="heading 3"/>
    <w:basedOn w:val="Normal"/>
    <w:next w:val="Normal"/>
    <w:link w:val="Heading3Char"/>
    <w:uiPriority w:val="9"/>
    <w:semiHidden w:val="1"/>
    <w:unhideWhenUsed w:val="1"/>
    <w:qFormat w:val="1"/>
    <w:rsid w:val="00881CB2"/>
    <w:pPr>
      <w:keepNext w:val="1"/>
      <w:keepLines w:val="1"/>
      <w:spacing w:after="80" w:before="160"/>
      <w:outlineLvl w:val="2"/>
    </w:pPr>
    <w:rPr>
      <w:rFonts w:cstheme="majorBidi" w:eastAsiaTheme="majorEastAsia"/>
      <w:color w:val="0f4761" w:themeColor="accent1" w:themeShade="0000BF"/>
      <w:kern w:val="2"/>
      <w:sz w:val="28"/>
      <w:szCs w:val="28"/>
    </w:rPr>
  </w:style>
  <w:style w:type="paragraph" w:styleId="Heading4">
    <w:name w:val="heading 4"/>
    <w:basedOn w:val="Normal"/>
    <w:next w:val="Normal"/>
    <w:link w:val="Heading4Char"/>
    <w:uiPriority w:val="9"/>
    <w:semiHidden w:val="1"/>
    <w:unhideWhenUsed w:val="1"/>
    <w:qFormat w:val="1"/>
    <w:rsid w:val="00881CB2"/>
    <w:pPr>
      <w:keepNext w:val="1"/>
      <w:keepLines w:val="1"/>
      <w:spacing w:after="40" w:before="80"/>
      <w:outlineLvl w:val="3"/>
    </w:pPr>
    <w:rPr>
      <w:rFonts w:cstheme="majorBidi" w:eastAsiaTheme="majorEastAsia"/>
      <w:i w:val="1"/>
      <w:iCs w:val="1"/>
      <w:color w:val="0f4761" w:themeColor="accent1" w:themeShade="0000BF"/>
      <w:kern w:val="2"/>
    </w:rPr>
  </w:style>
  <w:style w:type="paragraph" w:styleId="Heading5">
    <w:name w:val="heading 5"/>
    <w:basedOn w:val="Normal"/>
    <w:next w:val="Normal"/>
    <w:link w:val="Heading5Char"/>
    <w:uiPriority w:val="9"/>
    <w:semiHidden w:val="1"/>
    <w:unhideWhenUsed w:val="1"/>
    <w:qFormat w:val="1"/>
    <w:rsid w:val="00881CB2"/>
    <w:pPr>
      <w:keepNext w:val="1"/>
      <w:keepLines w:val="1"/>
      <w:spacing w:after="40" w:before="80"/>
      <w:outlineLvl w:val="4"/>
    </w:pPr>
    <w:rPr>
      <w:rFonts w:cstheme="majorBidi" w:eastAsiaTheme="majorEastAsia"/>
      <w:color w:val="0f4761" w:themeColor="accent1" w:themeShade="0000BF"/>
      <w:kern w:val="2"/>
    </w:rPr>
  </w:style>
  <w:style w:type="paragraph" w:styleId="Heading6">
    <w:name w:val="heading 6"/>
    <w:basedOn w:val="Normal"/>
    <w:next w:val="Normal"/>
    <w:link w:val="Heading6Char"/>
    <w:uiPriority w:val="9"/>
    <w:semiHidden w:val="1"/>
    <w:unhideWhenUsed w:val="1"/>
    <w:qFormat w:val="1"/>
    <w:rsid w:val="00881CB2"/>
    <w:pPr>
      <w:keepNext w:val="1"/>
      <w:keepLines w:val="1"/>
      <w:spacing w:after="0" w:before="40"/>
      <w:outlineLvl w:val="5"/>
    </w:pPr>
    <w:rPr>
      <w:rFonts w:cstheme="majorBidi" w:eastAsiaTheme="majorEastAsia"/>
      <w:i w:val="1"/>
      <w:iCs w:val="1"/>
      <w:color w:val="595959" w:themeColor="text1" w:themeTint="0000A6"/>
      <w:kern w:val="2"/>
    </w:rPr>
  </w:style>
  <w:style w:type="paragraph" w:styleId="Heading7">
    <w:name w:val="heading 7"/>
    <w:basedOn w:val="Normal"/>
    <w:next w:val="Normal"/>
    <w:link w:val="Heading7Char"/>
    <w:uiPriority w:val="9"/>
    <w:semiHidden w:val="1"/>
    <w:unhideWhenUsed w:val="1"/>
    <w:qFormat w:val="1"/>
    <w:rsid w:val="00881CB2"/>
    <w:pPr>
      <w:keepNext w:val="1"/>
      <w:keepLines w:val="1"/>
      <w:spacing w:after="0" w:before="40"/>
      <w:outlineLvl w:val="6"/>
    </w:pPr>
    <w:rPr>
      <w:rFonts w:cstheme="majorBidi" w:eastAsiaTheme="majorEastAsia"/>
      <w:color w:val="595959" w:themeColor="text1" w:themeTint="0000A6"/>
      <w:kern w:val="2"/>
    </w:rPr>
  </w:style>
  <w:style w:type="paragraph" w:styleId="Heading8">
    <w:name w:val="heading 8"/>
    <w:basedOn w:val="Normal"/>
    <w:next w:val="Normal"/>
    <w:link w:val="Heading8Char"/>
    <w:uiPriority w:val="9"/>
    <w:semiHidden w:val="1"/>
    <w:unhideWhenUsed w:val="1"/>
    <w:qFormat w:val="1"/>
    <w:rsid w:val="00881CB2"/>
    <w:pPr>
      <w:keepNext w:val="1"/>
      <w:keepLines w:val="1"/>
      <w:spacing w:after="0"/>
      <w:outlineLvl w:val="7"/>
    </w:pPr>
    <w:rPr>
      <w:rFonts w:cstheme="majorBidi" w:eastAsiaTheme="majorEastAsia"/>
      <w:i w:val="1"/>
      <w:iCs w:val="1"/>
      <w:color w:val="272727" w:themeColor="text1" w:themeTint="0000D8"/>
      <w:kern w:val="2"/>
    </w:rPr>
  </w:style>
  <w:style w:type="paragraph" w:styleId="Heading9">
    <w:name w:val="heading 9"/>
    <w:basedOn w:val="Normal"/>
    <w:next w:val="Normal"/>
    <w:link w:val="Heading9Char"/>
    <w:uiPriority w:val="9"/>
    <w:semiHidden w:val="1"/>
    <w:unhideWhenUsed w:val="1"/>
    <w:qFormat w:val="1"/>
    <w:rsid w:val="00881CB2"/>
    <w:pPr>
      <w:keepNext w:val="1"/>
      <w:keepLines w:val="1"/>
      <w:spacing w:after="0"/>
      <w:outlineLvl w:val="8"/>
    </w:pPr>
    <w:rPr>
      <w:rFonts w:cstheme="majorBidi" w:eastAsiaTheme="majorEastAsia"/>
      <w:color w:val="272727" w:themeColor="text1" w:themeTint="0000D8"/>
      <w:kern w:val="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link w:val="TitleChar"/>
    <w:uiPriority w:val="10"/>
    <w:qFormat w:val="1"/>
    <w:rsid w:val="00881CB2"/>
    <w:pPr>
      <w:spacing w:after="80" w:line="240" w:lineRule="auto"/>
      <w:contextualSpacing w:val="1"/>
    </w:pPr>
    <w:rPr>
      <w:rFonts w:asciiTheme="majorHAnsi" w:cstheme="majorBidi" w:eastAsiaTheme="majorEastAsia" w:hAnsiTheme="majorHAnsi"/>
      <w:spacing w:val="-10"/>
      <w:kern w:val="28"/>
      <w:sz w:val="56"/>
      <w:szCs w:val="56"/>
    </w:rPr>
  </w:style>
  <w:style w:type="character" w:styleId="Heading1Char" w:customStyle="1">
    <w:name w:val="Heading 1 Char"/>
    <w:basedOn w:val="DefaultParagraphFont"/>
    <w:link w:val="Heading1"/>
    <w:uiPriority w:val="9"/>
    <w:rsid w:val="00881CB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881CB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881CB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881CB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881CB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881CB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881CB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881CB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881CB2"/>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881CB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Pr>
      <w:color w:val="595959"/>
      <w:sz w:val="28"/>
      <w:szCs w:val="28"/>
    </w:rPr>
  </w:style>
  <w:style w:type="character" w:styleId="SubtitleChar" w:customStyle="1">
    <w:name w:val="Subtitle Char"/>
    <w:basedOn w:val="DefaultParagraphFont"/>
    <w:link w:val="Subtitle"/>
    <w:uiPriority w:val="11"/>
    <w:rsid w:val="00881CB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881CB2"/>
    <w:pPr>
      <w:spacing w:before="160"/>
      <w:jc w:val="center"/>
    </w:pPr>
    <w:rPr>
      <w:i w:val="1"/>
      <w:iCs w:val="1"/>
      <w:color w:val="404040" w:themeColor="text1" w:themeTint="0000BF"/>
      <w:kern w:val="2"/>
    </w:rPr>
  </w:style>
  <w:style w:type="character" w:styleId="QuoteChar" w:customStyle="1">
    <w:name w:val="Quote Char"/>
    <w:basedOn w:val="DefaultParagraphFont"/>
    <w:link w:val="Quote"/>
    <w:uiPriority w:val="29"/>
    <w:rsid w:val="00881CB2"/>
    <w:rPr>
      <w:i w:val="1"/>
      <w:iCs w:val="1"/>
      <w:color w:val="404040" w:themeColor="text1" w:themeTint="0000BF"/>
    </w:rPr>
  </w:style>
  <w:style w:type="paragraph" w:styleId="ListParagraph">
    <w:name w:val="List Paragraph"/>
    <w:basedOn w:val="Normal"/>
    <w:uiPriority w:val="34"/>
    <w:qFormat w:val="1"/>
    <w:rsid w:val="00881CB2"/>
    <w:pPr>
      <w:ind w:left="720"/>
      <w:contextualSpacing w:val="1"/>
    </w:pPr>
    <w:rPr>
      <w:kern w:val="2"/>
    </w:rPr>
  </w:style>
  <w:style w:type="character" w:styleId="IntenseEmphasis">
    <w:name w:val="Intense Emphasis"/>
    <w:basedOn w:val="DefaultParagraphFont"/>
    <w:uiPriority w:val="21"/>
    <w:qFormat w:val="1"/>
    <w:rsid w:val="00881CB2"/>
    <w:rPr>
      <w:i w:val="1"/>
      <w:iCs w:val="1"/>
      <w:color w:val="0f4761" w:themeColor="accent1" w:themeShade="0000BF"/>
    </w:rPr>
  </w:style>
  <w:style w:type="paragraph" w:styleId="IntenseQuote">
    <w:name w:val="Intense Quote"/>
    <w:basedOn w:val="Normal"/>
    <w:next w:val="Normal"/>
    <w:link w:val="IntenseQuoteChar"/>
    <w:uiPriority w:val="30"/>
    <w:qFormat w:val="1"/>
    <w:rsid w:val="00881CB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kern w:val="2"/>
    </w:rPr>
  </w:style>
  <w:style w:type="character" w:styleId="IntenseQuoteChar" w:customStyle="1">
    <w:name w:val="Intense Quote Char"/>
    <w:basedOn w:val="DefaultParagraphFont"/>
    <w:link w:val="IntenseQuote"/>
    <w:uiPriority w:val="30"/>
    <w:rsid w:val="00881CB2"/>
    <w:rPr>
      <w:i w:val="1"/>
      <w:iCs w:val="1"/>
      <w:color w:val="0f4761" w:themeColor="accent1" w:themeShade="0000BF"/>
    </w:rPr>
  </w:style>
  <w:style w:type="character" w:styleId="IntenseReference">
    <w:name w:val="Intense Reference"/>
    <w:basedOn w:val="DefaultParagraphFont"/>
    <w:uiPriority w:val="32"/>
    <w:qFormat w:val="1"/>
    <w:rsid w:val="00881CB2"/>
    <w:rPr>
      <w:b w:val="1"/>
      <w:bCs w:val="1"/>
      <w:smallCaps w:val="1"/>
      <w:color w:val="0f4761" w:themeColor="accent1" w:themeShade="0000BF"/>
      <w:spacing w:val="5"/>
    </w:rPr>
  </w:style>
  <w:style w:type="character" w:styleId="Hyperlink">
    <w:name w:val="Hyperlink"/>
    <w:basedOn w:val="DefaultParagraphFont"/>
    <w:uiPriority w:val="99"/>
    <w:unhideWhenUsed w:val="1"/>
    <w:rsid w:val="00A76390"/>
    <w:rPr>
      <w:color w:val="0000ff"/>
      <w:u w:val="single"/>
    </w:rPr>
  </w:style>
  <w:style w:type="paragraph" w:styleId="FootnoteText">
    <w:name w:val="footnote text"/>
    <w:basedOn w:val="Normal"/>
    <w:link w:val="FootnoteTextChar"/>
    <w:uiPriority w:val="99"/>
    <w:semiHidden w:val="1"/>
    <w:unhideWhenUsed w:val="1"/>
    <w:rsid w:val="00CF0C62"/>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CF0C62"/>
    <w:rPr>
      <w:kern w:val="0"/>
      <w:sz w:val="20"/>
      <w:szCs w:val="20"/>
    </w:rPr>
  </w:style>
  <w:style w:type="character" w:styleId="FootnoteReference">
    <w:name w:val="footnote reference"/>
    <w:basedOn w:val="DefaultParagraphFont"/>
    <w:uiPriority w:val="99"/>
    <w:semiHidden w:val="1"/>
    <w:unhideWhenUsed w:val="1"/>
    <w:rsid w:val="00CF0C62"/>
    <w:rPr>
      <w:vertAlign w:val="superscript"/>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5.png"/><Relationship Id="rId10" Type="http://schemas.openxmlformats.org/officeDocument/2006/relationships/image" Target="media/image4.png"/><Relationship Id="rId13" Type="http://schemas.openxmlformats.org/officeDocument/2006/relationships/hyperlink" Target="https://canadacollege.edu/prie/data-dashboards.php" TargetMode="External"/><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1.png"/><Relationship Id="rId15" Type="http://schemas.openxmlformats.org/officeDocument/2006/relationships/chart" Target="charts/chart1.xml"/><Relationship Id="rId14" Type="http://schemas.openxmlformats.org/officeDocument/2006/relationships/image" Target="media/image6.png"/><Relationship Id="rId16"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canadacollege.edu/prie/data-dashboards.p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charts/_rels/chart1.xml.rels><?xml version="1.0" encoding="UTF-8" standalone="yes"?><Relationships xmlns="http://schemas.openxmlformats.org/package/2006/relationships"><Relationship Id="rId1" Type="http://schemas.microsoft.com/office/2011/relationships/chartStyle" Target="style1.xml"/><Relationship Id="rId2" Type="http://schemas.microsoft.com/office/2011/relationships/chartColorStyle" Target="colors1.xml"/><Relationship Id="rId3" Type="http://schemas.openxmlformats.org/officeDocument/2006/relationships/oleObject" Target="file:///C:\Users\jushu\Downloads\digital_art_animation_course_enrollment_report_20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800"/>
              <a:t>Course</a:t>
            </a:r>
            <a:r>
              <a:rPr lang="en-US" sz="1800" baseline="0"/>
              <a:t> Success and Withdraw Rates</a:t>
            </a:r>
          </a:p>
          <a:p>
            <a:pPr>
              <a:defRPr/>
            </a:pPr>
            <a:r>
              <a:rPr lang="en-US" sz="1800" baseline="0"/>
              <a:t>2019-2020 to 2023-2024</a:t>
            </a:r>
            <a:endParaRPr lang="en-US" sz="18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'SUCCESS BY COURSE'!$P$2</c:f>
              <c:strCache>
                <c:ptCount val="1"/>
                <c:pt idx="0">
                  <c:v>Total Success Rate</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'SUCCESS BY COURSE'!$O$3:$O$43</c:f>
              <c:strCache>
                <c:ptCount val="41"/>
                <c:pt idx="0">
                  <c:v>MART-314</c:v>
                </c:pt>
                <c:pt idx="1">
                  <c:v>MART-325</c:v>
                </c:pt>
                <c:pt idx="2">
                  <c:v>MART-362</c:v>
                </c:pt>
                <c:pt idx="3">
                  <c:v>MART-366</c:v>
                </c:pt>
                <c:pt idx="4">
                  <c:v>MART-368</c:v>
                </c:pt>
                <c:pt idx="5">
                  <c:v>MART-371</c:v>
                </c:pt>
                <c:pt idx="6">
                  <c:v>MART-372</c:v>
                </c:pt>
                <c:pt idx="7">
                  <c:v>MART-376</c:v>
                </c:pt>
                <c:pt idx="8">
                  <c:v>MART-377</c:v>
                </c:pt>
                <c:pt idx="9">
                  <c:v>MART-378</c:v>
                </c:pt>
                <c:pt idx="10">
                  <c:v>MART-379</c:v>
                </c:pt>
                <c:pt idx="11">
                  <c:v>MART-380</c:v>
                </c:pt>
                <c:pt idx="12">
                  <c:v>MART-385</c:v>
                </c:pt>
                <c:pt idx="13">
                  <c:v>MART-389</c:v>
                </c:pt>
                <c:pt idx="14">
                  <c:v>MART-390</c:v>
                </c:pt>
                <c:pt idx="15">
                  <c:v>MART-393</c:v>
                </c:pt>
                <c:pt idx="16">
                  <c:v>MART-394</c:v>
                </c:pt>
                <c:pt idx="17">
                  <c:v>MART-400</c:v>
                </c:pt>
                <c:pt idx="18">
                  <c:v>MART-405</c:v>
                </c:pt>
                <c:pt idx="19">
                  <c:v>MART-416</c:v>
                </c:pt>
                <c:pt idx="20">
                  <c:v>MART-417</c:v>
                </c:pt>
                <c:pt idx="21">
                  <c:v>MART-418</c:v>
                </c:pt>
                <c:pt idx="22">
                  <c:v>MART-420</c:v>
                </c:pt>
                <c:pt idx="23">
                  <c:v>MART-421</c:v>
                </c:pt>
                <c:pt idx="24">
                  <c:v>MART-422</c:v>
                </c:pt>
                <c:pt idx="25">
                  <c:v>MART-424</c:v>
                </c:pt>
                <c:pt idx="26">
                  <c:v>MART-425</c:v>
                </c:pt>
                <c:pt idx="27">
                  <c:v>MART-430</c:v>
                </c:pt>
                <c:pt idx="28">
                  <c:v>MART-431</c:v>
                </c:pt>
                <c:pt idx="29">
                  <c:v>MART-432</c:v>
                </c:pt>
                <c:pt idx="30">
                  <c:v>MART-441</c:v>
                </c:pt>
                <c:pt idx="31">
                  <c:v>MART-442</c:v>
                </c:pt>
                <c:pt idx="32">
                  <c:v>MART-443</c:v>
                </c:pt>
                <c:pt idx="33">
                  <c:v>MART-445</c:v>
                </c:pt>
                <c:pt idx="34">
                  <c:v>MART-446</c:v>
                </c:pt>
                <c:pt idx="35">
                  <c:v>MART-447</c:v>
                </c:pt>
                <c:pt idx="36">
                  <c:v>MART-450</c:v>
                </c:pt>
                <c:pt idx="37">
                  <c:v>MART-451</c:v>
                </c:pt>
                <c:pt idx="38">
                  <c:v>MART-452</c:v>
                </c:pt>
                <c:pt idx="39">
                  <c:v>MART-455</c:v>
                </c:pt>
                <c:pt idx="40">
                  <c:v>MART-680CL</c:v>
                </c:pt>
              </c:strCache>
            </c:strRef>
          </c:cat>
          <c:val>
            <c:numRef>
              <c:f>'SUCCESS BY COURSE'!$P$3:$P$43</c:f>
              <c:numCache>
                <c:formatCode>#,##0%;\*</c:formatCode>
                <c:ptCount val="41"/>
                <c:pt idx="0">
                  <c:v>0.64391691394658801</c:v>
                </c:pt>
                <c:pt idx="1">
                  <c:v>0.77611940298507498</c:v>
                </c:pt>
                <c:pt idx="2">
                  <c:v>0.64601769911504403</c:v>
                </c:pt>
                <c:pt idx="3">
                  <c:v>0.721804511278196</c:v>
                </c:pt>
                <c:pt idx="4">
                  <c:v>0.63157894736842102</c:v>
                </c:pt>
                <c:pt idx="5">
                  <c:v>0.60317460317460303</c:v>
                </c:pt>
                <c:pt idx="6">
                  <c:v>0.66423357664233595</c:v>
                </c:pt>
                <c:pt idx="7">
                  <c:v>0.75242718446601897</c:v>
                </c:pt>
                <c:pt idx="8">
                  <c:v>0.94117647058823495</c:v>
                </c:pt>
                <c:pt idx="9">
                  <c:v>0.67857142857142905</c:v>
                </c:pt>
                <c:pt idx="10">
                  <c:v>0.70656370656370704</c:v>
                </c:pt>
                <c:pt idx="11">
                  <c:v>0.84</c:v>
                </c:pt>
                <c:pt idx="12">
                  <c:v>0.76106194690265505</c:v>
                </c:pt>
                <c:pt idx="13">
                  <c:v>0.67391304347826098</c:v>
                </c:pt>
                <c:pt idx="14">
                  <c:v>0.83505154639175305</c:v>
                </c:pt>
                <c:pt idx="15">
                  <c:v>0.57692307692307698</c:v>
                </c:pt>
                <c:pt idx="16">
                  <c:v>0.81818181818181801</c:v>
                </c:pt>
                <c:pt idx="17">
                  <c:v>0.565217391304348</c:v>
                </c:pt>
                <c:pt idx="18">
                  <c:v>0.63541666666666696</c:v>
                </c:pt>
                <c:pt idx="19">
                  <c:v>0.73076923076923095</c:v>
                </c:pt>
                <c:pt idx="20">
                  <c:v>0.77108433734939796</c:v>
                </c:pt>
                <c:pt idx="21">
                  <c:v>0.55944055944056004</c:v>
                </c:pt>
                <c:pt idx="22">
                  <c:v>0.58189655172413801</c:v>
                </c:pt>
                <c:pt idx="23">
                  <c:v>0.76086956521739102</c:v>
                </c:pt>
                <c:pt idx="24">
                  <c:v>0.84210526315789502</c:v>
                </c:pt>
                <c:pt idx="25">
                  <c:v>0.8</c:v>
                </c:pt>
                <c:pt idx="26">
                  <c:v>0.83333333333333304</c:v>
                </c:pt>
                <c:pt idx="27">
                  <c:v>0.7</c:v>
                </c:pt>
                <c:pt idx="28">
                  <c:v>0.5</c:v>
                </c:pt>
                <c:pt idx="29">
                  <c:v>0.42857142857142899</c:v>
                </c:pt>
                <c:pt idx="30">
                  <c:v>0.56387665198237902</c:v>
                </c:pt>
                <c:pt idx="31">
                  <c:v>0.64566929133858297</c:v>
                </c:pt>
                <c:pt idx="32">
                  <c:v>0.61016949152542399</c:v>
                </c:pt>
                <c:pt idx="33">
                  <c:v>0.73076923076923095</c:v>
                </c:pt>
                <c:pt idx="34">
                  <c:v>0.62337662337662303</c:v>
                </c:pt>
                <c:pt idx="35">
                  <c:v>0.8</c:v>
                </c:pt>
                <c:pt idx="36">
                  <c:v>0.83333333333333304</c:v>
                </c:pt>
                <c:pt idx="37">
                  <c:v>1</c:v>
                </c:pt>
                <c:pt idx="38">
                  <c:v>0.8</c:v>
                </c:pt>
                <c:pt idx="39">
                  <c:v>0.78947368421052599</c:v>
                </c:pt>
                <c:pt idx="40">
                  <c:v>1</c:v>
                </c:pt>
              </c:numCache>
            </c:numRef>
          </c:val>
          <c:extLst>
            <c:ext xmlns:c16="http://schemas.microsoft.com/office/drawing/2014/chart" uri="{C3380CC4-5D6E-409C-BE32-E72D297353CC}">
              <c16:uniqueId val="{00000000-A413-4FAD-98A2-777D02066C31}"/>
            </c:ext>
          </c:extLst>
        </c:ser>
        <c:ser>
          <c:idx val="1"/>
          <c:order val="1"/>
          <c:tx>
            <c:strRef>
              <c:f>'SUCCESS BY COURSE'!$Q$2</c:f>
              <c:strCache>
                <c:ptCount val="1"/>
                <c:pt idx="0">
                  <c:v>Total Withdraw Rate</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'SUCCESS BY COURSE'!$O$3:$O$43</c:f>
              <c:strCache>
                <c:ptCount val="41"/>
                <c:pt idx="0">
                  <c:v>MART-314</c:v>
                </c:pt>
                <c:pt idx="1">
                  <c:v>MART-325</c:v>
                </c:pt>
                <c:pt idx="2">
                  <c:v>MART-362</c:v>
                </c:pt>
                <c:pt idx="3">
                  <c:v>MART-366</c:v>
                </c:pt>
                <c:pt idx="4">
                  <c:v>MART-368</c:v>
                </c:pt>
                <c:pt idx="5">
                  <c:v>MART-371</c:v>
                </c:pt>
                <c:pt idx="6">
                  <c:v>MART-372</c:v>
                </c:pt>
                <c:pt idx="7">
                  <c:v>MART-376</c:v>
                </c:pt>
                <c:pt idx="8">
                  <c:v>MART-377</c:v>
                </c:pt>
                <c:pt idx="9">
                  <c:v>MART-378</c:v>
                </c:pt>
                <c:pt idx="10">
                  <c:v>MART-379</c:v>
                </c:pt>
                <c:pt idx="11">
                  <c:v>MART-380</c:v>
                </c:pt>
                <c:pt idx="12">
                  <c:v>MART-385</c:v>
                </c:pt>
                <c:pt idx="13">
                  <c:v>MART-389</c:v>
                </c:pt>
                <c:pt idx="14">
                  <c:v>MART-390</c:v>
                </c:pt>
                <c:pt idx="15">
                  <c:v>MART-393</c:v>
                </c:pt>
                <c:pt idx="16">
                  <c:v>MART-394</c:v>
                </c:pt>
                <c:pt idx="17">
                  <c:v>MART-400</c:v>
                </c:pt>
                <c:pt idx="18">
                  <c:v>MART-405</c:v>
                </c:pt>
                <c:pt idx="19">
                  <c:v>MART-416</c:v>
                </c:pt>
                <c:pt idx="20">
                  <c:v>MART-417</c:v>
                </c:pt>
                <c:pt idx="21">
                  <c:v>MART-418</c:v>
                </c:pt>
                <c:pt idx="22">
                  <c:v>MART-420</c:v>
                </c:pt>
                <c:pt idx="23">
                  <c:v>MART-421</c:v>
                </c:pt>
                <c:pt idx="24">
                  <c:v>MART-422</c:v>
                </c:pt>
                <c:pt idx="25">
                  <c:v>MART-424</c:v>
                </c:pt>
                <c:pt idx="26">
                  <c:v>MART-425</c:v>
                </c:pt>
                <c:pt idx="27">
                  <c:v>MART-430</c:v>
                </c:pt>
                <c:pt idx="28">
                  <c:v>MART-431</c:v>
                </c:pt>
                <c:pt idx="29">
                  <c:v>MART-432</c:v>
                </c:pt>
                <c:pt idx="30">
                  <c:v>MART-441</c:v>
                </c:pt>
                <c:pt idx="31">
                  <c:v>MART-442</c:v>
                </c:pt>
                <c:pt idx="32">
                  <c:v>MART-443</c:v>
                </c:pt>
                <c:pt idx="33">
                  <c:v>MART-445</c:v>
                </c:pt>
                <c:pt idx="34">
                  <c:v>MART-446</c:v>
                </c:pt>
                <c:pt idx="35">
                  <c:v>MART-447</c:v>
                </c:pt>
                <c:pt idx="36">
                  <c:v>MART-450</c:v>
                </c:pt>
                <c:pt idx="37">
                  <c:v>MART-451</c:v>
                </c:pt>
                <c:pt idx="38">
                  <c:v>MART-452</c:v>
                </c:pt>
                <c:pt idx="39">
                  <c:v>MART-455</c:v>
                </c:pt>
                <c:pt idx="40">
                  <c:v>MART-680CL</c:v>
                </c:pt>
              </c:strCache>
            </c:strRef>
          </c:cat>
          <c:val>
            <c:numRef>
              <c:f>'SUCCESS BY COURSE'!$Q$3:$Q$43</c:f>
              <c:numCache>
                <c:formatCode>#,##0%;\*</c:formatCode>
                <c:ptCount val="41"/>
                <c:pt idx="0">
                  <c:v>0.13649851632047499</c:v>
                </c:pt>
                <c:pt idx="1">
                  <c:v>0.119402985074627</c:v>
                </c:pt>
                <c:pt idx="2">
                  <c:v>0.132743362831858</c:v>
                </c:pt>
                <c:pt idx="3">
                  <c:v>8.2706766917293201E-2</c:v>
                </c:pt>
                <c:pt idx="4">
                  <c:v>0.157894736842105</c:v>
                </c:pt>
                <c:pt idx="5">
                  <c:v>0.17460317460317501</c:v>
                </c:pt>
                <c:pt idx="6">
                  <c:v>0.13868613138686101</c:v>
                </c:pt>
                <c:pt idx="7">
                  <c:v>0.106796116504854</c:v>
                </c:pt>
                <c:pt idx="8">
                  <c:v>5.8823529411764698E-2</c:v>
                </c:pt>
                <c:pt idx="9">
                  <c:v>0.19642857142857101</c:v>
                </c:pt>
                <c:pt idx="10">
                  <c:v>0.10038610038610001</c:v>
                </c:pt>
                <c:pt idx="11">
                  <c:v>0.06</c:v>
                </c:pt>
                <c:pt idx="12">
                  <c:v>7.9646017699115002E-2</c:v>
                </c:pt>
                <c:pt idx="13">
                  <c:v>0.101449275362319</c:v>
                </c:pt>
                <c:pt idx="14">
                  <c:v>6.18556701030928E-2</c:v>
                </c:pt>
                <c:pt idx="15">
                  <c:v>0.230769230769231</c:v>
                </c:pt>
                <c:pt idx="16">
                  <c:v>0</c:v>
                </c:pt>
                <c:pt idx="17">
                  <c:v>0.19565217391304299</c:v>
                </c:pt>
                <c:pt idx="18">
                  <c:v>0.17708333333333301</c:v>
                </c:pt>
                <c:pt idx="19">
                  <c:v>0.134615384615385</c:v>
                </c:pt>
                <c:pt idx="20">
                  <c:v>9.6385542168674704E-2</c:v>
                </c:pt>
                <c:pt idx="21">
                  <c:v>0.18181818181818199</c:v>
                </c:pt>
                <c:pt idx="22">
                  <c:v>0.163793103448276</c:v>
                </c:pt>
                <c:pt idx="23">
                  <c:v>0.173913043478261</c:v>
                </c:pt>
                <c:pt idx="24">
                  <c:v>0.157894736842105</c:v>
                </c:pt>
                <c:pt idx="25">
                  <c:v>6.6666666666666693E-2</c:v>
                </c:pt>
                <c:pt idx="26">
                  <c:v>2.7777777777777801E-2</c:v>
                </c:pt>
                <c:pt idx="27">
                  <c:v>0.1</c:v>
                </c:pt>
                <c:pt idx="28">
                  <c:v>0.16666666666666699</c:v>
                </c:pt>
                <c:pt idx="29">
                  <c:v>0.14285714285714299</c:v>
                </c:pt>
                <c:pt idx="30">
                  <c:v>0.246696035242291</c:v>
                </c:pt>
                <c:pt idx="31">
                  <c:v>0.110236220472441</c:v>
                </c:pt>
                <c:pt idx="32">
                  <c:v>0.11864406779661001</c:v>
                </c:pt>
                <c:pt idx="33">
                  <c:v>9.6153846153846201E-2</c:v>
                </c:pt>
                <c:pt idx="34">
                  <c:v>0.22077922077922099</c:v>
                </c:pt>
                <c:pt idx="35">
                  <c:v>0.1</c:v>
                </c:pt>
                <c:pt idx="36">
                  <c:v>8.3333333333333301E-2</c:v>
                </c:pt>
                <c:pt idx="37">
                  <c:v>0</c:v>
                </c:pt>
                <c:pt idx="38">
                  <c:v>0.1</c:v>
                </c:pt>
                <c:pt idx="39">
                  <c:v>2.6315789473684199E-2</c:v>
                </c:pt>
                <c:pt idx="40">
                  <c:v>0</c:v>
                </c:pt>
              </c:numCache>
            </c:numRef>
          </c:val>
          <c:extLst>
            <c:ext xmlns:c16="http://schemas.microsoft.com/office/drawing/2014/chart" uri="{C3380CC4-5D6E-409C-BE32-E72D297353CC}">
              <c16:uniqueId val="{00000001-A413-4FAD-98A2-777D02066C31}"/>
            </c:ext>
          </c:extLst>
        </c:ser>
        <c:dLbls>
          <c:dLblPos val="outEnd"/>
          <c:showLegendKey val="0"/>
          <c:showVal val="1"/>
          <c:showCatName val="0"/>
          <c:showSerName val="0"/>
          <c:showPercent val="0"/>
          <c:showBubbleSize val="0"/>
        </c:dLbls>
        <c:gapWidth val="75"/>
        <c:overlap val="-25"/>
        <c:axId val="2036419359"/>
        <c:axId val="2036413119"/>
      </c:barChart>
      <c:catAx>
        <c:axId val="203641935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6413119"/>
        <c:crosses val="autoZero"/>
        <c:auto val="1"/>
        <c:lblAlgn val="ctr"/>
        <c:lblOffset val="100"/>
        <c:noMultiLvlLbl val="0"/>
      </c:catAx>
      <c:valAx>
        <c:axId val="2036413119"/>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364193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BpKJ1vRGXZbdO0PdNBfrMcN2SA==">CgMxLjAyCGguZ2pkZ3hzOAByITE1bDR1Vk1maUlqS0prOGVtMkNsZms2OUZxR0U2M1czUA==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2024-07-22T15:50:00Z</dcterms:created>
  <dc:creator>Justin Huskins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0x01010029551A415522C74CB2195B1A777E9A7C</vt:lpwstr>
  </property>
</Properties>
</file>