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Engineering</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Comprehensive Program Review Questionnaire Data</w:t>
      </w:r>
    </w:p>
    <w:p w:rsidR="00000000" w:rsidDel="00000000" w:rsidP="00000000" w:rsidRDefault="00000000" w:rsidRPr="00000000" w14:paraId="00000003">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7A. Enrollment Trends</w:t>
      </w:r>
      <w:r w:rsidDel="00000000" w:rsidR="00000000" w:rsidRPr="00000000">
        <w:rPr>
          <w:rtl w:val="0"/>
        </w:rPr>
      </w:r>
    </w:p>
    <w:p w:rsidR="00000000" w:rsidDel="00000000" w:rsidP="00000000" w:rsidRDefault="00000000" w:rsidRPr="00000000" w14:paraId="00000004">
      <w:pPr>
        <w:rPr>
          <w:rFonts w:ascii="Arial" w:cs="Arial" w:eastAsia="Arial" w:hAnsi="Arial"/>
          <w:b w:val="1"/>
          <w:color w:val="000000"/>
        </w:rPr>
      </w:pPr>
      <w:r w:rsidDel="00000000" w:rsidR="00000000" w:rsidRPr="00000000">
        <w:rPr>
          <w:rFonts w:ascii="Arial" w:cs="Arial" w:eastAsia="Arial" w:hAnsi="Arial"/>
          <w:b w:val="1"/>
          <w:color w:val="000000"/>
          <w:rtl w:val="0"/>
        </w:rPr>
        <w:t xml:space="preserve">Use the data provided by PRIE to examine your enrollments by department or courses. Describe trends in headcount, FTES, and load. If applicable, describe any other enrollment data that is relevant to your program</w:t>
      </w:r>
    </w:p>
    <w:p w:rsidR="00000000" w:rsidDel="00000000" w:rsidP="00000000" w:rsidRDefault="00000000" w:rsidRPr="00000000" w14:paraId="00000005">
      <w:pPr>
        <w:rPr/>
      </w:pPr>
      <w:r w:rsidDel="00000000" w:rsidR="00000000" w:rsidRPr="00000000">
        <w:rPr/>
        <w:drawing>
          <wp:inline distB="0" distT="0" distL="0" distR="0">
            <wp:extent cx="5243513" cy="3772013"/>
            <wp:effectExtent b="0" l="0" r="0" t="0"/>
            <wp:docPr descr="A graph of a graph with numbers and a line&#10;&#10;Description automatically generated with medium confidence" id="2058742881" name="image1.png"/>
            <a:graphic>
              <a:graphicData uri="http://schemas.openxmlformats.org/drawingml/2006/picture">
                <pic:pic>
                  <pic:nvPicPr>
                    <pic:cNvPr descr="A graph of a graph with numbers and a line&#10;&#10;Description automatically generated with medium confidence" id="0" name="image1.png"/>
                    <pic:cNvPicPr preferRelativeResize="0"/>
                  </pic:nvPicPr>
                  <pic:blipFill>
                    <a:blip r:embed="rId8"/>
                    <a:srcRect b="0" l="0" r="0" t="0"/>
                    <a:stretch>
                      <a:fillRect/>
                    </a:stretch>
                  </pic:blipFill>
                  <pic:spPr>
                    <a:xfrm>
                      <a:off x="0" y="0"/>
                      <a:ext cx="5243513" cy="377201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Enrollments for Engineering have been on a consistent rising from 142 in 2019-2020 to 249 in 2022-2023. There was only a slight dip in 2023-2024. Headcount didn’t appear to follow the exact trend although there was a general incline from 97 to 177 between 2019-2020 and 2022-2023. It then dipped more significantly in 2023 to 140, though not quite to the 97 that was there before.</w:t>
      </w:r>
    </w:p>
    <w:p w:rsidR="00000000" w:rsidDel="00000000" w:rsidP="00000000" w:rsidRDefault="00000000" w:rsidRPr="00000000" w14:paraId="00000007">
      <w:pPr>
        <w:rPr/>
      </w:pPr>
      <w:r w:rsidDel="00000000" w:rsidR="00000000" w:rsidRPr="00000000">
        <w:rPr/>
        <w:drawing>
          <wp:inline distB="0" distT="0" distL="0" distR="0">
            <wp:extent cx="3875447" cy="2930185"/>
            <wp:effectExtent b="0" l="0" r="0" t="0"/>
            <wp:docPr descr="A graph with a line and a line&#10;&#10;Description automatically generated" id="2058742883" name="image6.png"/>
            <a:graphic>
              <a:graphicData uri="http://schemas.openxmlformats.org/drawingml/2006/picture">
                <pic:pic>
                  <pic:nvPicPr>
                    <pic:cNvPr descr="A graph with a line and a line&#10;&#10;Description automatically generated" id="0" name="image6.png"/>
                    <pic:cNvPicPr preferRelativeResize="0"/>
                  </pic:nvPicPr>
                  <pic:blipFill>
                    <a:blip r:embed="rId9"/>
                    <a:srcRect b="0" l="0" r="0" t="0"/>
                    <a:stretch>
                      <a:fillRect/>
                    </a:stretch>
                  </pic:blipFill>
                  <pic:spPr>
                    <a:xfrm>
                      <a:off x="0" y="0"/>
                      <a:ext cx="3875447" cy="293018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section count has remained completely flat aside from jumping from 10 to 11 between 2010-2020 and 2020-2021.</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drawing>
          <wp:inline distB="0" distT="0" distL="0" distR="0">
            <wp:extent cx="4676484" cy="3392450"/>
            <wp:effectExtent b="0" l="0" r="0" t="0"/>
            <wp:docPr descr="A graph with numbers and a line&#10;&#10;Description automatically generated" id="2058742882" name="image3.png"/>
            <a:graphic>
              <a:graphicData uri="http://schemas.openxmlformats.org/drawingml/2006/picture">
                <pic:pic>
                  <pic:nvPicPr>
                    <pic:cNvPr descr="A graph with numbers and a line&#10;&#10;Description automatically generated" id="0" name="image3.png"/>
                    <pic:cNvPicPr preferRelativeResize="0"/>
                  </pic:nvPicPr>
                  <pic:blipFill>
                    <a:blip r:embed="rId10"/>
                    <a:srcRect b="0" l="0" r="0" t="0"/>
                    <a:stretch>
                      <a:fillRect/>
                    </a:stretch>
                  </pic:blipFill>
                  <pic:spPr>
                    <a:xfrm>
                      <a:off x="0" y="0"/>
                      <a:ext cx="4676484" cy="339245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FTEF moved from 2 to 3 in 2020-2021 for Engineering. It them remained flat aside from a brief jump to 4 in 2022-2023. FTES has been on a consistent rise every single year from 2019-2020 to 2023-2024 going from 23 to 49.</w:t>
      </w:r>
    </w:p>
    <w:p w:rsidR="00000000" w:rsidDel="00000000" w:rsidP="00000000" w:rsidRDefault="00000000" w:rsidRPr="00000000" w14:paraId="0000000C">
      <w:pPr>
        <w:jc w:val="center"/>
        <w:rPr/>
      </w:pPr>
      <w:r w:rsidDel="00000000" w:rsidR="00000000" w:rsidRPr="00000000">
        <w:rPr/>
        <w:drawing>
          <wp:inline distB="0" distT="0" distL="0" distR="0">
            <wp:extent cx="4471988" cy="3368818"/>
            <wp:effectExtent b="0" l="0" r="0" t="0"/>
            <wp:docPr descr="A graph with a line and numbers&#10;&#10;Description automatically generated" id="2058742885" name="image2.png"/>
            <a:graphic>
              <a:graphicData uri="http://schemas.openxmlformats.org/drawingml/2006/picture">
                <pic:pic>
                  <pic:nvPicPr>
                    <pic:cNvPr descr="A graph with a line and numbers&#10;&#10;Description automatically generated" id="0" name="image2.png"/>
                    <pic:cNvPicPr preferRelativeResize="0"/>
                  </pic:nvPicPr>
                  <pic:blipFill>
                    <a:blip r:embed="rId11"/>
                    <a:srcRect b="0" l="0" r="0" t="0"/>
                    <a:stretch>
                      <a:fillRect/>
                    </a:stretch>
                  </pic:blipFill>
                  <pic:spPr>
                    <a:xfrm>
                      <a:off x="0" y="0"/>
                      <a:ext cx="4471988" cy="3368818"/>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Load changed relatively little between 2019-2020 and 2021-2022 ranging from 209 to 262 in no apparent pattern. However, past 2021-2022, it then jumped significantly from 209 to 421 by 2023-2024.</w:t>
      </w:r>
    </w:p>
    <w:p w:rsidR="00000000" w:rsidDel="00000000" w:rsidP="00000000" w:rsidRDefault="00000000" w:rsidRPr="00000000" w14:paraId="0000000E">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8A. Access &amp; Completion</w:t>
      </w: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rsidR="00000000" w:rsidDel="00000000" w:rsidP="00000000" w:rsidRDefault="00000000" w:rsidRPr="00000000" w14:paraId="0000001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See the </w:t>
      </w:r>
      <w:r w:rsidDel="00000000" w:rsidR="00000000" w:rsidRPr="00000000">
        <w:rPr>
          <w:rFonts w:ascii="Arial" w:cs="Arial" w:eastAsia="Arial" w:hAnsi="Arial"/>
          <w:i w:val="1"/>
          <w:rtl w:val="0"/>
        </w:rPr>
        <w:t xml:space="preserve">Course Enrollment &amp; Success Detail Report </w:t>
      </w:r>
      <w:r w:rsidDel="00000000" w:rsidR="00000000" w:rsidRPr="00000000">
        <w:rPr>
          <w:rFonts w:ascii="Arial" w:cs="Arial" w:eastAsia="Arial" w:hAnsi="Arial"/>
          <w:rtl w:val="0"/>
        </w:rPr>
        <w:t xml:space="preserve">for additional course-level data. This report can be found on</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PRIE’s </w:t>
      </w:r>
      <w:hyperlink r:id="rId12">
        <w:r w:rsidDel="00000000" w:rsidR="00000000" w:rsidRPr="00000000">
          <w:rPr>
            <w:rFonts w:ascii="Arial" w:cs="Arial" w:eastAsia="Arial" w:hAnsi="Arial"/>
            <w:color w:val="0000ff"/>
            <w:u w:val="single"/>
            <w:rtl w:val="0"/>
          </w:rPr>
          <w:t xml:space="preserve">Data Dashboards &amp; Packets</w:t>
        </w:r>
      </w:hyperlink>
      <w:r w:rsidDel="00000000" w:rsidR="00000000" w:rsidRPr="00000000">
        <w:rPr>
          <w:rFonts w:ascii="Arial" w:cs="Arial" w:eastAsia="Arial" w:hAnsi="Arial"/>
          <w:rtl w:val="0"/>
        </w:rPr>
        <w:t xml:space="preserve"> page under the program name.</w:t>
      </w:r>
    </w:p>
    <w:p w:rsidR="00000000" w:rsidDel="00000000" w:rsidP="00000000" w:rsidRDefault="00000000" w:rsidRPr="00000000" w14:paraId="00000012">
      <w:pPr>
        <w:rPr/>
      </w:pPr>
      <w:r w:rsidDel="00000000" w:rsidR="00000000" w:rsidRPr="00000000">
        <w:rPr/>
        <w:drawing>
          <wp:inline distB="0" distT="0" distL="0" distR="0">
            <wp:extent cx="5062538" cy="6215735"/>
            <wp:effectExtent b="0" l="0" r="0" t="0"/>
            <wp:docPr descr="A graph with blue and orange lines&#10;&#10;Description automatically generated" id="2058742884" name="image4.png"/>
            <a:graphic>
              <a:graphicData uri="http://schemas.openxmlformats.org/drawingml/2006/picture">
                <pic:pic>
                  <pic:nvPicPr>
                    <pic:cNvPr descr="A graph with blue and orange lines&#10;&#10;Description automatically generated" id="0" name="image4.png"/>
                    <pic:cNvPicPr preferRelativeResize="0"/>
                  </pic:nvPicPr>
                  <pic:blipFill>
                    <a:blip r:embed="rId13"/>
                    <a:srcRect b="0" l="0" r="0" t="0"/>
                    <a:stretch>
                      <a:fillRect/>
                    </a:stretch>
                  </pic:blipFill>
                  <pic:spPr>
                    <a:xfrm>
                      <a:off x="0" y="0"/>
                      <a:ext cx="5062538" cy="621573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Success rates had a steep drop from 94% to 79% between 2019-2020 and 2020-2021. After that point it rose to 89% in 2021-2022. It then flattened out to around 84-85% after that point. Withdrawals followed roughly the same trend. They increased from 6% to 17% between 2019-2020 and 2020-2021. They then dipped down to 10% by 2023-2024.</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drawing>
          <wp:inline distB="0" distT="0" distL="0" distR="0">
            <wp:extent cx="5943600" cy="4312285"/>
            <wp:docPr id="2058742879"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ENGR-695 and ENGR-240 had the lowest withdrawal rates at 0% while ENGR-215 had the highest at 24%. ENGR-695 and ENGR-240 also had the highest success rates of 100% while ENG-215 had the lowest at 70%.</w:t>
      </w:r>
    </w:p>
    <w:p w:rsidR="00000000" w:rsidDel="00000000" w:rsidP="00000000" w:rsidRDefault="00000000" w:rsidRPr="00000000" w14:paraId="00000017">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8B. Student Equity</w:t>
      </w: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p>
    <w:p w:rsidR="00000000" w:rsidDel="00000000" w:rsidP="00000000" w:rsidRDefault="00000000" w:rsidRPr="00000000" w14:paraId="00000019">
      <w:pPr>
        <w:spacing w:after="0" w:before="240" w:lineRule="auto"/>
        <w:rPr>
          <w:rFonts w:ascii="Arial" w:cs="Arial" w:eastAsia="Arial" w:hAnsi="Arial"/>
          <w:b w:val="1"/>
          <w:color w:val="000000"/>
        </w:rPr>
      </w:pPr>
      <w:r w:rsidDel="00000000" w:rsidR="00000000" w:rsidRPr="00000000">
        <w:rPr>
          <w:rFonts w:ascii="Arial" w:cs="Arial" w:eastAsia="Arial" w:hAnsi="Arial"/>
          <w:b w:val="1"/>
          <w:rtl w:val="0"/>
        </w:rPr>
        <w:t xml:space="preserve">OVERALL EQUITY</w:t>
      </w: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Arial" w:cs="Arial" w:eastAsia="Arial" w:hAnsi="Arial"/>
          <w:color w:val="000000"/>
        </w:rPr>
      </w:pPr>
      <w:r w:rsidDel="00000000" w:rsidR="00000000" w:rsidRPr="00000000">
        <w:rPr>
          <w:rFonts w:ascii="Arial" w:cs="Arial" w:eastAsia="Arial" w:hAnsi="Arial"/>
          <w:rtl w:val="0"/>
        </w:rPr>
        <w:t xml:space="preserve">The Equity and Disproportionate Impact (DI) dashboard was used to identify subgroups that may have been disproportionately impacted in Engineering in the most recent academic year (2023-2024)</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three metrics used to examine potential disproportionate impact were enrollment rates (referred as access), success rates, and withdraw rates. The rate for each subgroup was compared to either the college-wide rate (access) or the overall program-level rate (success and withdraws). The difference between the two rates is known as the ‘gap’ and may be referred to as a performance gap or equity gap. Student subgroups that may have been disproportionately impacted in Engineering appear below (see Table 1-2). </w:t>
      </w:r>
    </w:p>
    <w:p w:rsidR="00000000" w:rsidDel="00000000" w:rsidP="00000000" w:rsidRDefault="00000000" w:rsidRPr="00000000" w14:paraId="0000001C">
      <w:pPr>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b w:val="1"/>
          <w:rtl w:val="0"/>
        </w:rPr>
        <w:t xml:space="preserve">Access</w:t>
      </w:r>
    </w:p>
    <w:p w:rsidR="00000000" w:rsidDel="00000000" w:rsidP="00000000" w:rsidRDefault="00000000" w:rsidRPr="00000000" w14:paraId="0000001E">
      <w:pPr>
        <w:spacing w:line="276" w:lineRule="auto"/>
        <w:rPr>
          <w:rFonts w:ascii="Arial" w:cs="Arial" w:eastAsia="Arial" w:hAnsi="Arial"/>
        </w:rPr>
      </w:pPr>
      <w:r w:rsidDel="00000000" w:rsidR="00000000" w:rsidRPr="00000000">
        <w:rPr>
          <w:rFonts w:ascii="Arial" w:cs="Arial" w:eastAsia="Arial" w:hAnsi="Arial"/>
          <w:color w:val="000000"/>
          <w:rtl w:val="0"/>
        </w:rPr>
        <w:t xml:space="preserve">Access is an indicator of what student subgroups are enrolling in courses, based on unique student counts. </w:t>
      </w:r>
      <w:r w:rsidDel="00000000" w:rsidR="00000000" w:rsidRPr="00000000">
        <w:rPr>
          <w:rFonts w:ascii="Arial" w:cs="Arial" w:eastAsia="Arial" w:hAnsi="Arial"/>
          <w:rtl w:val="0"/>
        </w:rPr>
        <w:t xml:space="preserve">Enrollment data revealed one student subgroup was underrepresented in Engineering classes compared to the college-wide population (see Table 1). For instance, female students are underrepresented in Engineering. The proportion of female students in Engineering across all course modalities was 42 percentage points lower than the proportion of female students enrolled college-wide.</w:t>
      </w:r>
    </w:p>
    <w:p w:rsidR="00000000" w:rsidDel="00000000" w:rsidP="00000000" w:rsidRDefault="00000000" w:rsidRPr="00000000" w14:paraId="0000001F">
      <w:pPr>
        <w:spacing w:line="276" w:lineRule="auto"/>
        <w:rPr>
          <w:rFonts w:ascii="Arial" w:cs="Arial" w:eastAsia="Arial" w:hAnsi="Arial"/>
        </w:rPr>
      </w:pPr>
      <w:r w:rsidDel="00000000" w:rsidR="00000000" w:rsidRPr="00000000">
        <w:rPr>
          <w:rFonts w:ascii="Arial" w:cs="Arial" w:eastAsia="Arial" w:hAnsi="Arial"/>
          <w:rtl w:val="0"/>
        </w:rPr>
        <w:t xml:space="preserve">Table 1.</w:t>
      </w:r>
    </w:p>
    <w:tbl>
      <w:tblPr>
        <w:tblStyle w:val="Table1"/>
        <w:tblW w:w="3606.0" w:type="dxa"/>
        <w:jc w:val="left"/>
        <w:tblLayout w:type="fixed"/>
        <w:tblLook w:val="0400"/>
      </w:tblPr>
      <w:tblGrid>
        <w:gridCol w:w="2586"/>
        <w:gridCol w:w="1020"/>
        <w:tblGridChange w:id="0">
          <w:tblGrid>
            <w:gridCol w:w="2586"/>
            <w:gridCol w:w="1020"/>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0">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1">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2">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3">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-42%</w:t>
            </w:r>
          </w:p>
        </w:tc>
      </w:tr>
    </w:tbl>
    <w:p w:rsidR="00000000" w:rsidDel="00000000" w:rsidP="00000000" w:rsidRDefault="00000000" w:rsidRPr="00000000" w14:paraId="00000024">
      <w:pPr>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Success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Success is the rate at which different student subgroups pass courses and is based on enrollments. The success rate for different subgroups in Engineering was compared to the overall success rate in Engineering. The difference between the two rates (the gap) revealed four subgroups may have been disproportionately impacted (see Table 2). For example, the success rate for Hispanic students in Engineering was 10 percentage points lower than the overall success rate in Engineering during the 2023-2024 academic year.</w:t>
      </w:r>
    </w:p>
    <w:p w:rsidR="00000000" w:rsidDel="00000000" w:rsidP="00000000" w:rsidRDefault="00000000" w:rsidRPr="00000000" w14:paraId="00000027">
      <w:pPr>
        <w:tabs>
          <w:tab w:val="left" w:leader="none" w:pos="6878"/>
        </w:tabs>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Table 2.</w:t>
        <w:tab/>
      </w:r>
    </w:p>
    <w:tbl>
      <w:tblPr>
        <w:tblStyle w:val="Table2"/>
        <w:tblW w:w="5670.0" w:type="dxa"/>
        <w:jc w:val="left"/>
        <w:tblLayout w:type="fixed"/>
        <w:tblLook w:val="0400"/>
      </w:tblPr>
      <w:tblGrid>
        <w:gridCol w:w="3330"/>
        <w:gridCol w:w="2340"/>
        <w:tblGridChange w:id="0">
          <w:tblGrid>
            <w:gridCol w:w="3330"/>
            <w:gridCol w:w="234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8">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9">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A">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B">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C">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Male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D">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-13%</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E">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23-28</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F">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-21%</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Unreported - First Generation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1">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-19%</w:t>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8C. Completion – Success Online</w:t>
      </w: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rtl w:val="0"/>
        </w:rPr>
        <w:t xml:space="preserve">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drawing>
          <wp:inline distB="0" distT="0" distL="0" distR="0">
            <wp:extent cx="4900613" cy="6392602"/>
            <wp:effectExtent b="0" l="0" r="0" t="0"/>
            <wp:docPr descr="A graph with numbers and lines&#10;&#10;Description automatically generated" id="2058742880" name="image5.png"/>
            <a:graphic>
              <a:graphicData uri="http://schemas.openxmlformats.org/drawingml/2006/picture">
                <pic:pic>
                  <pic:nvPicPr>
                    <pic:cNvPr descr="A graph with numbers and lines&#10;&#10;Description automatically generated" id="0" name="image5.png"/>
                    <pic:cNvPicPr preferRelativeResize="0"/>
                  </pic:nvPicPr>
                  <pic:blipFill>
                    <a:blip r:embed="rId15"/>
                    <a:srcRect b="0" l="0" r="0" t="0"/>
                    <a:stretch>
                      <a:fillRect/>
                    </a:stretch>
                  </pic:blipFill>
                  <pic:spPr>
                    <a:xfrm>
                      <a:off x="0" y="0"/>
                      <a:ext cx="4900613" cy="6392602"/>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success rate for in person classes dropped significantly from 94% in 2019-2020 to 78% in 2020-2021. However, it quickly recovered and even reached 100% by 2022-2023. Success rates dipped down to 90% after that point in 2023-2024. Online class success rates briefly surged from 83% in 2020-2021 to 100% in 2021-2022. However, they then dropped to 74% by 2023-2024 going well below the in-person success rate. Synchronous classes stayed in the 81-87 percent range by the end of 2021-2022, but then dropped significantly to 68% in 2022-2023. It has since only recovered slightly to 70%.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 w:name="Aptos Narro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rtl w:val="0"/>
        </w:rPr>
        <w:t xml:space="preserve">Source: </w:t>
      </w:r>
      <w:r w:rsidDel="00000000" w:rsidR="00000000" w:rsidRPr="00000000">
        <w:rPr>
          <w:rFonts w:ascii="Arial" w:cs="Arial" w:eastAsia="Arial" w:hAnsi="Arial"/>
          <w:color w:val="0563c2"/>
          <w:rtl w:val="0"/>
        </w:rPr>
        <w:t xml:space="preserve">https://canadacollege.edu/prie/dashboards/disproportionate-impact.php</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A26FE0"/>
  </w:style>
  <w:style w:type="paragraph" w:styleId="Heading1">
    <w:name w:val="heading 1"/>
    <w:basedOn w:val="Normal"/>
    <w:next w:val="Normal"/>
    <w:link w:val="Heading1Char"/>
    <w:uiPriority w:val="9"/>
    <w:qFormat w:val="1"/>
    <w:rsid w:val="0027661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7661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7661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7661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7661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76610"/>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7661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7661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7661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276610"/>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27661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7661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7661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7661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7661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7661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7661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7661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7661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7661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27661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7661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76610"/>
    <w:rPr>
      <w:i w:val="1"/>
      <w:iCs w:val="1"/>
      <w:color w:val="404040" w:themeColor="text1" w:themeTint="0000BF"/>
    </w:rPr>
  </w:style>
  <w:style w:type="paragraph" w:styleId="ListParagraph">
    <w:name w:val="List Paragraph"/>
    <w:basedOn w:val="Normal"/>
    <w:uiPriority w:val="34"/>
    <w:qFormat w:val="1"/>
    <w:rsid w:val="00276610"/>
    <w:pPr>
      <w:ind w:left="720"/>
      <w:contextualSpacing w:val="1"/>
    </w:pPr>
  </w:style>
  <w:style w:type="character" w:styleId="IntenseEmphasis">
    <w:name w:val="Intense Emphasis"/>
    <w:basedOn w:val="DefaultParagraphFont"/>
    <w:uiPriority w:val="21"/>
    <w:qFormat w:val="1"/>
    <w:rsid w:val="00276610"/>
    <w:rPr>
      <w:i w:val="1"/>
      <w:iCs w:val="1"/>
      <w:color w:val="0f4761" w:themeColor="accent1" w:themeShade="0000BF"/>
    </w:rPr>
  </w:style>
  <w:style w:type="paragraph" w:styleId="IntenseQuote">
    <w:name w:val="Intense Quote"/>
    <w:basedOn w:val="Normal"/>
    <w:next w:val="Normal"/>
    <w:link w:val="IntenseQuoteChar"/>
    <w:uiPriority w:val="30"/>
    <w:qFormat w:val="1"/>
    <w:rsid w:val="0027661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76610"/>
    <w:rPr>
      <w:i w:val="1"/>
      <w:iCs w:val="1"/>
      <w:color w:val="0f4761" w:themeColor="accent1" w:themeShade="0000BF"/>
    </w:rPr>
  </w:style>
  <w:style w:type="character" w:styleId="IntenseReference">
    <w:name w:val="Intense Reference"/>
    <w:basedOn w:val="DefaultParagraphFont"/>
    <w:uiPriority w:val="32"/>
    <w:qFormat w:val="1"/>
    <w:rsid w:val="00276610"/>
    <w:rPr>
      <w:b w:val="1"/>
      <w:bCs w:val="1"/>
      <w:smallCaps w:val="1"/>
      <w:color w:val="0f4761" w:themeColor="accent1" w:themeShade="0000BF"/>
      <w:spacing w:val="5"/>
    </w:rPr>
  </w:style>
  <w:style w:type="character" w:styleId="Hyperlink">
    <w:name w:val="Hyperlink"/>
    <w:basedOn w:val="DefaultParagraphFont"/>
    <w:uiPriority w:val="99"/>
    <w:unhideWhenUsed w:val="1"/>
    <w:rsid w:val="000F6A10"/>
    <w:rPr>
      <w:color w:val="0000ff"/>
      <w:u w:val="single"/>
    </w:rPr>
  </w:style>
  <w:style w:type="paragraph" w:styleId="FootnoteText">
    <w:name w:val="footnote text"/>
    <w:basedOn w:val="Normal"/>
    <w:link w:val="FootnoteTextChar"/>
    <w:uiPriority w:val="99"/>
    <w:semiHidden w:val="1"/>
    <w:unhideWhenUsed w:val="1"/>
    <w:rsid w:val="00924E42"/>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924E42"/>
    <w:rPr>
      <w:kern w:val="0"/>
      <w:sz w:val="20"/>
      <w:szCs w:val="20"/>
    </w:rPr>
  </w:style>
  <w:style w:type="character" w:styleId="FootnoteReference">
    <w:name w:val="footnote reference"/>
    <w:basedOn w:val="DefaultParagraphFont"/>
    <w:uiPriority w:val="99"/>
    <w:semiHidden w:val="1"/>
    <w:unhideWhenUsed w:val="1"/>
    <w:rsid w:val="00924E42"/>
    <w:rPr>
      <w:vertAlign w:val="superscript"/>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image" Target="media/image4.png"/><Relationship Id="rId12" Type="http://schemas.openxmlformats.org/officeDocument/2006/relationships/hyperlink" Target="https://canadacollege.edu/prie/data-dashboards.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chart" Target="charts/chart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jushu\Downloads\engineering_course_enrollment_report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Course</a:t>
            </a:r>
            <a:r>
              <a:rPr lang="en-US" sz="1800" baseline="0"/>
              <a:t> Success and Withdraw Rates</a:t>
            </a:r>
          </a:p>
          <a:p>
            <a:pPr>
              <a:defRPr/>
            </a:pPr>
            <a:r>
              <a:rPr lang="en-US" sz="1800" baseline="0"/>
              <a:t>2019-2020 to 2023-2024</a:t>
            </a:r>
            <a:endParaRPr lang="en-US" sz="1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'SUCCESS BY COURSE'!$R$2</c:f>
              <c:strCache>
                <c:ptCount val="1"/>
                <c:pt idx="0">
                  <c:v>Total Success Rate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COURSE'!$Q$3:$Q$11</c:f>
              <c:strCache>
                <c:ptCount val="9"/>
                <c:pt idx="0">
                  <c:v>ENGR-100</c:v>
                </c:pt>
                <c:pt idx="1">
                  <c:v>ENGR-210</c:v>
                </c:pt>
                <c:pt idx="2">
                  <c:v>ENGR-215</c:v>
                </c:pt>
                <c:pt idx="3">
                  <c:v>ENGR-230</c:v>
                </c:pt>
                <c:pt idx="4">
                  <c:v>ENGR-240</c:v>
                </c:pt>
                <c:pt idx="5">
                  <c:v>ENGR-260</c:v>
                </c:pt>
                <c:pt idx="6">
                  <c:v>ENGR-261</c:v>
                </c:pt>
                <c:pt idx="7">
                  <c:v>ENGR-270</c:v>
                </c:pt>
                <c:pt idx="8">
                  <c:v>ENGR-695</c:v>
                </c:pt>
              </c:strCache>
            </c:strRef>
          </c:cat>
          <c:val>
            <c:numRef>
              <c:f>'SUCCESS BY COURSE'!$R$3:$R$11</c:f>
              <c:numCache>
                <c:formatCode>#,##0%;\*</c:formatCode>
                <c:ptCount val="9"/>
                <c:pt idx="0">
                  <c:v>0.78811369509043905</c:v>
                </c:pt>
                <c:pt idx="1">
                  <c:v>0.76724137931034497</c:v>
                </c:pt>
                <c:pt idx="2">
                  <c:v>0.702380952380952</c:v>
                </c:pt>
                <c:pt idx="3">
                  <c:v>0.90476190476190499</c:v>
                </c:pt>
                <c:pt idx="4">
                  <c:v>1</c:v>
                </c:pt>
                <c:pt idx="5">
                  <c:v>0.92771084337349397</c:v>
                </c:pt>
                <c:pt idx="6">
                  <c:v>0.90476190476190499</c:v>
                </c:pt>
                <c:pt idx="7">
                  <c:v>0.88333333333333297</c:v>
                </c:pt>
                <c:pt idx="8">
                  <c:v>1</c:v>
                </c:pt>
              </c:numCache>
            </c:numRef>
          </c:val>
          <c:extLst>
            <c:ext xmlns:c16="http://schemas.microsoft.com/office/drawing/2014/chart" uri="{C3380CC4-5D6E-409C-BE32-E72D297353CC}">
              <c16:uniqueId val="{00000000-27A4-4E86-A541-91ED6651BE56}"/>
            </c:ext>
          </c:extLst>
        </c:ser>
        <c:ser>
          <c:idx val="1"/>
          <c:order val="1"/>
          <c:tx>
            <c:strRef>
              <c:f>'SUCCESS BY COURSE'!$S$2</c:f>
              <c:strCache>
                <c:ptCount val="1"/>
                <c:pt idx="0">
                  <c:v>Total Withdraw Rate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COURSE'!$Q$3:$Q$11</c:f>
              <c:strCache>
                <c:ptCount val="9"/>
                <c:pt idx="0">
                  <c:v>ENGR-100</c:v>
                </c:pt>
                <c:pt idx="1">
                  <c:v>ENGR-210</c:v>
                </c:pt>
                <c:pt idx="2">
                  <c:v>ENGR-215</c:v>
                </c:pt>
                <c:pt idx="3">
                  <c:v>ENGR-230</c:v>
                </c:pt>
                <c:pt idx="4">
                  <c:v>ENGR-240</c:v>
                </c:pt>
                <c:pt idx="5">
                  <c:v>ENGR-260</c:v>
                </c:pt>
                <c:pt idx="6">
                  <c:v>ENGR-261</c:v>
                </c:pt>
                <c:pt idx="7">
                  <c:v>ENGR-270</c:v>
                </c:pt>
                <c:pt idx="8">
                  <c:v>ENGR-695</c:v>
                </c:pt>
              </c:strCache>
            </c:strRef>
          </c:cat>
          <c:val>
            <c:numRef>
              <c:f>'SUCCESS BY COURSE'!$S$3:$S$11</c:f>
              <c:numCache>
                <c:formatCode>#,##0%;\*</c:formatCode>
                <c:ptCount val="9"/>
                <c:pt idx="0">
                  <c:v>0.152454780361757</c:v>
                </c:pt>
                <c:pt idx="1">
                  <c:v>0.10344827586206901</c:v>
                </c:pt>
                <c:pt idx="2">
                  <c:v>0.238095238095238</c:v>
                </c:pt>
                <c:pt idx="3">
                  <c:v>7.9365079365079402E-2</c:v>
                </c:pt>
                <c:pt idx="4">
                  <c:v>0</c:v>
                </c:pt>
                <c:pt idx="5">
                  <c:v>7.2289156626505993E-2</c:v>
                </c:pt>
                <c:pt idx="6">
                  <c:v>9.5238095238095205E-2</c:v>
                </c:pt>
                <c:pt idx="7">
                  <c:v>0.116666666666667</c:v>
                </c:pt>
                <c:pt idx="8">
                  <c:v>0</c:v>
                </c:pt>
              </c:numCache>
            </c:numRef>
          </c:val>
          <c:extLst>
            <c:ext xmlns:c16="http://schemas.microsoft.com/office/drawing/2014/chart" uri="{C3380CC4-5D6E-409C-BE32-E72D297353CC}">
              <c16:uniqueId val="{00000001-27A4-4E86-A541-91ED6651BE56}"/>
            </c:ext>
          </c:extLst>
        </c:ser>
        <c:dLbls>
          <c:dLblPos val="outEnd"/>
          <c:showLegendKey val="0"/>
          <c:showVal val="1"/>
          <c:showCatName val="0"/>
          <c:showSerName val="0"/>
          <c:showPercent val="0"/>
          <c:showBubbleSize val="0"/>
        </c:dLbls>
        <c:gapWidth val="182"/>
        <c:axId val="118918799"/>
        <c:axId val="118918319"/>
      </c:barChart>
      <c:catAx>
        <c:axId val="1189187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18319"/>
        <c:crosses val="autoZero"/>
        <c:auto val="1"/>
        <c:lblAlgn val="ctr"/>
        <c:lblOffset val="100"/>
        <c:noMultiLvlLbl val="0"/>
      </c:catAx>
      <c:valAx>
        <c:axId val="11891831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18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U4NgHNMJ1yzGoXV8ynA3PQsig==">CgMxLjAyCGguZ2pkZ3hzOAByITF6dEs2azFuR1FzcmRkNVV1TVJiMWR5d21fNk01UGRuXw==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2024-07-22T15:28:00Z</dcterms:created>
  <dc:creator>Justin Huskins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